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黑体"/>
          <w:color w:val="000000"/>
          <w:szCs w:val="20"/>
          <w:lang w:val="en-US" w:eastAsia="zh-CN"/>
        </w:rPr>
      </w:pPr>
      <w:r>
        <w:rPr>
          <w:rFonts w:hint="eastAsia" w:eastAsia="黑体"/>
          <w:color w:val="000000"/>
          <w:szCs w:val="20"/>
        </w:rPr>
        <w:t>股票代码：</w:t>
      </w:r>
      <w:r>
        <w:rPr>
          <w:rFonts w:eastAsia="黑体"/>
          <w:color w:val="000000"/>
          <w:szCs w:val="20"/>
        </w:rPr>
        <w:t>600188</w:t>
      </w:r>
      <w:r>
        <w:rPr>
          <w:rFonts w:hint="eastAsia" w:eastAsia="黑体"/>
          <w:color w:val="000000"/>
          <w:szCs w:val="20"/>
        </w:rPr>
        <w:t xml:space="preserve">     </w:t>
      </w:r>
      <w:r>
        <w:rPr>
          <w:rFonts w:eastAsia="黑体"/>
          <w:color w:val="000000"/>
          <w:szCs w:val="20"/>
        </w:rPr>
        <w:t xml:space="preserve"> </w:t>
      </w:r>
      <w:r>
        <w:rPr>
          <w:rFonts w:hint="eastAsia" w:eastAsia="黑体"/>
          <w:color w:val="000000"/>
          <w:szCs w:val="20"/>
        </w:rPr>
        <w:t xml:space="preserve">        股票简称： 兖矿能源      </w:t>
      </w:r>
      <w:r>
        <w:rPr>
          <w:rFonts w:eastAsia="黑体"/>
          <w:color w:val="000000"/>
          <w:szCs w:val="20"/>
        </w:rPr>
        <w:t xml:space="preserve">   </w:t>
      </w:r>
      <w:r>
        <w:rPr>
          <w:rFonts w:hint="eastAsia" w:eastAsia="黑体"/>
          <w:color w:val="000000"/>
          <w:szCs w:val="20"/>
        </w:rPr>
        <w:t xml:space="preserve">  编号：临2025-</w:t>
      </w:r>
      <w:r>
        <w:rPr>
          <w:rFonts w:hint="eastAsia" w:eastAsia="黑体"/>
          <w:color w:val="000000"/>
          <w:szCs w:val="20"/>
          <w:lang w:val="en-US" w:eastAsia="zh-CN"/>
        </w:rPr>
        <w:t>049</w:t>
      </w:r>
      <w:bookmarkStart w:id="1" w:name="_GoBack"/>
      <w:bookmarkEnd w:id="1"/>
    </w:p>
    <w:p>
      <w:pPr>
        <w:spacing w:line="560" w:lineRule="exact"/>
        <w:jc w:val="center"/>
        <w:rPr>
          <w:rFonts w:ascii="黑体" w:eastAsia="黑体"/>
          <w:b/>
          <w:bCs/>
          <w:color w:val="FF0000"/>
          <w:sz w:val="36"/>
          <w:szCs w:val="36"/>
        </w:rPr>
      </w:pPr>
    </w:p>
    <w:p>
      <w:pPr>
        <w:spacing w:line="560" w:lineRule="exact"/>
        <w:jc w:val="center"/>
        <w:rPr>
          <w:rFonts w:ascii="黑体" w:eastAsia="黑体"/>
          <w:b/>
          <w:bCs/>
          <w:color w:val="FF0000"/>
          <w:sz w:val="36"/>
          <w:szCs w:val="36"/>
        </w:rPr>
      </w:pPr>
      <w:r>
        <w:rPr>
          <w:rFonts w:hint="eastAsia" w:ascii="黑体" w:eastAsia="黑体"/>
          <w:b/>
          <w:bCs/>
          <w:color w:val="FF0000"/>
          <w:sz w:val="36"/>
          <w:szCs w:val="36"/>
        </w:rPr>
        <w:t>兖矿能源集团股份有限公司</w:t>
      </w:r>
    </w:p>
    <w:p>
      <w:pPr>
        <w:spacing w:line="560" w:lineRule="exact"/>
        <w:jc w:val="center"/>
        <w:rPr>
          <w:rFonts w:ascii="黑体" w:eastAsia="黑体"/>
          <w:b/>
          <w:bCs/>
          <w:color w:val="FF0000"/>
          <w:sz w:val="36"/>
          <w:szCs w:val="36"/>
        </w:rPr>
      </w:pPr>
      <w:r>
        <w:rPr>
          <w:rFonts w:hint="eastAsia" w:ascii="黑体" w:eastAsia="黑体"/>
          <w:b/>
          <w:bCs/>
          <w:color w:val="FF0000"/>
          <w:sz w:val="36"/>
          <w:szCs w:val="36"/>
        </w:rPr>
        <w:t>2025年半年度业绩预减公告</w:t>
      </w:r>
    </w:p>
    <w:p>
      <w:pPr>
        <w:spacing w:line="400" w:lineRule="exact"/>
        <w:rPr>
          <w:sz w:val="28"/>
          <w:szCs w:val="28"/>
        </w:rPr>
      </w:pPr>
    </w:p>
    <w:p>
      <w:pPr>
        <w:spacing w:line="360" w:lineRule="auto"/>
        <w:ind w:firstLine="562" w:firstLineChars="200"/>
        <w:rPr>
          <w:rFonts w:hint="eastAsia" w:asciiTheme="minorEastAsia" w:hAnsiTheme="minorEastAsia"/>
          <w:b/>
          <w:bCs/>
          <w:sz w:val="28"/>
          <w:szCs w:val="28"/>
        </w:rPr>
      </w:pPr>
      <w:r>
        <w:rPr>
          <w:rFonts w:hint="eastAsia" w:asciiTheme="minorEastAsia" w:hAnsiTheme="minorEastAsia"/>
          <w:b/>
          <w:bCs/>
          <w:sz w:val="28"/>
          <w:szCs w:val="28"/>
        </w:rPr>
        <w:t>重要内容提示：</w:t>
      </w:r>
    </w:p>
    <w:p>
      <w:pPr>
        <w:numPr>
          <w:ilvl w:val="0"/>
          <w:numId w:val="1"/>
        </w:numPr>
        <w:spacing w:line="360" w:lineRule="auto"/>
        <w:rPr>
          <w:rFonts w:hint="eastAsia" w:ascii="宋体" w:hAnsi="宋体"/>
          <w:sz w:val="28"/>
          <w:szCs w:val="28"/>
        </w:rPr>
      </w:pPr>
      <w:r>
        <w:rPr>
          <w:rFonts w:hint="eastAsia" w:ascii="宋体" w:hAnsi="宋体"/>
          <w:sz w:val="28"/>
          <w:szCs w:val="28"/>
        </w:rPr>
        <w:t>按中国会计准则初步测算，兖矿能源集团股份有限公司（“公司”“本公司”）预计2025年半年度实现归属于上市公司股东的净利润约4</w:t>
      </w:r>
      <w:r>
        <w:rPr>
          <w:rFonts w:ascii="宋体" w:hAnsi="宋体"/>
          <w:sz w:val="28"/>
          <w:szCs w:val="28"/>
        </w:rPr>
        <w:t>6</w:t>
      </w:r>
      <w:r>
        <w:rPr>
          <w:rFonts w:hint="eastAsia" w:ascii="宋体" w:hAnsi="宋体"/>
          <w:sz w:val="28"/>
          <w:szCs w:val="28"/>
        </w:rPr>
        <w:t>.5亿元，与上年同期数据相比，</w:t>
      </w:r>
      <w:bookmarkStart w:id="0" w:name="_Hlk99396991"/>
      <w:r>
        <w:rPr>
          <w:rFonts w:hint="eastAsia" w:ascii="宋体" w:hAnsi="宋体"/>
          <w:sz w:val="28"/>
          <w:szCs w:val="28"/>
        </w:rPr>
        <w:t>减少约29亿元或38%</w:t>
      </w:r>
      <w:bookmarkEnd w:id="0"/>
      <w:r>
        <w:rPr>
          <w:rFonts w:hint="eastAsia" w:ascii="宋体" w:hAnsi="宋体"/>
          <w:sz w:val="28"/>
          <w:szCs w:val="28"/>
        </w:rPr>
        <w:t>；预计2025年半年度实现归属于上市公司股东的扣除非经常性损益的净利润约44亿元，与上年同期数据相比，减少约29亿元或39%。</w:t>
      </w:r>
    </w:p>
    <w:p>
      <w:pPr>
        <w:numPr>
          <w:ilvl w:val="0"/>
          <w:numId w:val="1"/>
        </w:numPr>
        <w:spacing w:line="360" w:lineRule="auto"/>
        <w:rPr>
          <w:rFonts w:asciiTheme="minorEastAsia" w:hAnsiTheme="minorEastAsia"/>
          <w:b/>
          <w:bCs/>
          <w:sz w:val="24"/>
        </w:rPr>
      </w:pPr>
      <w:r>
        <w:rPr>
          <w:rFonts w:hint="eastAsia" w:ascii="宋体" w:hAnsi="宋体"/>
          <w:sz w:val="28"/>
          <w:szCs w:val="28"/>
        </w:rPr>
        <w:t>公司于</w:t>
      </w:r>
      <w:r>
        <w:rPr>
          <w:sz w:val="28"/>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2529840</wp:posOffset>
                </wp:positionV>
                <wp:extent cx="5372100" cy="980440"/>
                <wp:effectExtent l="0" t="0" r="19050" b="10160"/>
                <wp:wrapTopAndBottom/>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72100" cy="980440"/>
                        </a:xfrm>
                        <a:prstGeom prst="rect">
                          <a:avLst/>
                        </a:prstGeom>
                        <a:solidFill>
                          <a:srgbClr val="FFFFFF"/>
                        </a:solidFill>
                        <a:ln w="9525">
                          <a:solidFill>
                            <a:srgbClr val="000000"/>
                          </a:solidFill>
                          <a:miter lim="800000"/>
                        </a:ln>
                      </wps:spPr>
                      <wps:txb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99.2pt;height:77.2pt;width:423pt;mso-position-vertical-relative:page;mso-wrap-distance-bottom:0pt;mso-wrap-distance-top:0pt;z-index:251659264;mso-width-relative:page;mso-height-relative:page;" fillcolor="#FFFFFF" filled="t" stroked="t" coordsize="21600,21600" o:gfxdata="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&#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ow3d2AAAAAgBAAAPAAAAAAAAAAEAIAAAACIAAABk&#10;cnMvZG93bnJldi54bWxQSwECFAAUAAAACACHTuJAkgeKLj8CAACHBAAADgAAAAAAAAABACAAAAAn&#10;AQAAZHJzL2Uyb0RvYy54bWxQSwUGAAAAAAYABgBZAQAA2AUAAAAA&#10;">
                <v:fill on="t" focussize="0,0"/>
                <v:stroke color="#000000" miterlimit="8" joinstyle="miter"/>
                <v:imagedata o:title=""/>
                <o:lock v:ext="edit" aspectratio="f"/>
                <v:textbo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v:textbox>
                <w10:wrap type="topAndBottom"/>
              </v:shape>
            </w:pict>
          </mc:Fallback>
        </mc:AlternateContent>
      </w:r>
      <w:r>
        <w:rPr>
          <w:rFonts w:hint="eastAsia" w:ascii="宋体" w:hAnsi="宋体"/>
          <w:sz w:val="28"/>
          <w:szCs w:val="28"/>
        </w:rPr>
        <w:t>2025年7月将山东能源集团西北矿业有限公司财务报表</w:t>
      </w:r>
      <w:r>
        <w:rPr>
          <w:rFonts w:hint="eastAsia" w:ascii="宋体" w:hAnsi="宋体"/>
          <w:color w:val="000000"/>
          <w:sz w:val="28"/>
          <w:szCs w:val="28"/>
        </w:rPr>
        <w:t>（“西北矿业”）纳入合并范围</w:t>
      </w:r>
      <w:r>
        <w:rPr>
          <w:rFonts w:hint="eastAsia" w:ascii="宋体" w:hAnsi="宋体"/>
          <w:sz w:val="28"/>
          <w:szCs w:val="28"/>
        </w:rPr>
        <w:t>，并入西北矿业以前各年度及2025年1月以来财务数据。</w:t>
      </w:r>
    </w:p>
    <w:p>
      <w:pPr>
        <w:spacing w:line="360" w:lineRule="auto"/>
        <w:ind w:left="560"/>
        <w:rPr>
          <w:rFonts w:hint="eastAsia" w:asciiTheme="minorEastAsia" w:hAnsiTheme="minorEastAsia"/>
          <w:b/>
          <w:bCs/>
          <w:sz w:val="24"/>
        </w:rPr>
      </w:pPr>
    </w:p>
    <w:p>
      <w:pPr>
        <w:spacing w:line="520" w:lineRule="exact"/>
        <w:ind w:firstLine="562" w:firstLineChars="200"/>
        <w:rPr>
          <w:rFonts w:hint="eastAsia" w:ascii="宋体" w:hAnsi="宋体"/>
          <w:b/>
          <w:bCs/>
          <w:sz w:val="28"/>
          <w:szCs w:val="28"/>
        </w:rPr>
      </w:pPr>
      <w:r>
        <w:rPr>
          <w:rFonts w:hint="eastAsia" w:ascii="宋体" w:hAnsi="宋体"/>
          <w:b/>
          <w:bCs/>
          <w:sz w:val="28"/>
          <w:szCs w:val="28"/>
        </w:rPr>
        <w:t>一、本期业绩预告情况（按中国会计准则计算）</w:t>
      </w:r>
    </w:p>
    <w:p>
      <w:pPr>
        <w:spacing w:line="520" w:lineRule="exact"/>
        <w:ind w:firstLine="560" w:firstLineChars="200"/>
        <w:rPr>
          <w:rFonts w:hint="eastAsia" w:ascii="宋体" w:hAnsi="宋体"/>
          <w:sz w:val="28"/>
          <w:szCs w:val="28"/>
        </w:rPr>
      </w:pPr>
      <w:r>
        <w:rPr>
          <w:rFonts w:hint="eastAsia" w:ascii="宋体" w:hAnsi="宋体"/>
          <w:sz w:val="28"/>
          <w:szCs w:val="28"/>
        </w:rPr>
        <w:t>（一）业绩预告期间</w:t>
      </w:r>
    </w:p>
    <w:p>
      <w:pPr>
        <w:spacing w:line="520" w:lineRule="exact"/>
        <w:ind w:firstLine="560" w:firstLineChars="200"/>
        <w:rPr>
          <w:rFonts w:hint="eastAsia" w:ascii="宋体" w:hAnsi="宋体"/>
          <w:sz w:val="28"/>
          <w:szCs w:val="28"/>
        </w:rPr>
      </w:pPr>
      <w:r>
        <w:rPr>
          <w:rFonts w:hint="eastAsia" w:ascii="宋体" w:hAnsi="宋体"/>
          <w:sz w:val="28"/>
          <w:szCs w:val="28"/>
        </w:rPr>
        <w:t>2025年1月1日至2025年</w:t>
      </w:r>
      <w:r>
        <w:rPr>
          <w:rFonts w:ascii="宋体" w:hAnsi="宋体"/>
          <w:sz w:val="28"/>
          <w:szCs w:val="28"/>
        </w:rPr>
        <w:t>6</w:t>
      </w:r>
      <w:r>
        <w:rPr>
          <w:rFonts w:hint="eastAsia" w:ascii="宋体" w:hAnsi="宋体"/>
          <w:sz w:val="28"/>
          <w:szCs w:val="28"/>
        </w:rPr>
        <w:t>月3</w:t>
      </w:r>
      <w:r>
        <w:rPr>
          <w:rFonts w:ascii="宋体" w:hAnsi="宋体"/>
          <w:sz w:val="28"/>
          <w:szCs w:val="28"/>
        </w:rPr>
        <w:t>0</w:t>
      </w:r>
      <w:r>
        <w:rPr>
          <w:rFonts w:hint="eastAsia" w:ascii="宋体" w:hAnsi="宋体"/>
          <w:sz w:val="28"/>
          <w:szCs w:val="28"/>
        </w:rPr>
        <w:t>日。</w:t>
      </w:r>
    </w:p>
    <w:p>
      <w:pPr>
        <w:spacing w:line="520" w:lineRule="exact"/>
        <w:ind w:firstLine="560" w:firstLineChars="200"/>
        <w:rPr>
          <w:rFonts w:hint="eastAsia" w:ascii="宋体" w:hAnsi="宋体"/>
          <w:sz w:val="28"/>
          <w:szCs w:val="28"/>
        </w:rPr>
      </w:pPr>
      <w:r>
        <w:rPr>
          <w:rFonts w:hint="eastAsia" w:ascii="宋体" w:hAnsi="宋体"/>
          <w:sz w:val="28"/>
          <w:szCs w:val="28"/>
        </w:rPr>
        <w:t>（二）业绩预告情况</w:t>
      </w:r>
    </w:p>
    <w:p>
      <w:pPr>
        <w:spacing w:line="520" w:lineRule="exact"/>
        <w:ind w:firstLine="560" w:firstLineChars="200"/>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经公司财务部门初步测算，本公司预计2025年半年度实现归属于上市公司股东的净利润约4</w:t>
      </w:r>
      <w:r>
        <w:rPr>
          <w:rFonts w:ascii="宋体" w:hAnsi="宋体"/>
          <w:sz w:val="28"/>
          <w:szCs w:val="28"/>
        </w:rPr>
        <w:t>6</w:t>
      </w:r>
      <w:r>
        <w:rPr>
          <w:rFonts w:hint="eastAsia" w:ascii="宋体" w:hAnsi="宋体"/>
          <w:sz w:val="28"/>
          <w:szCs w:val="28"/>
        </w:rPr>
        <w:t>.5亿元，与上年同期（法定披露数据）相比，减少29亿元左右，同比减少38%左右；</w:t>
      </w:r>
    </w:p>
    <w:p>
      <w:pPr>
        <w:spacing w:line="520" w:lineRule="exact"/>
        <w:ind w:firstLine="560" w:firstLineChars="200"/>
        <w:rPr>
          <w:rFonts w:hint="eastAsia"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经公司财务部门初步测算，本公司预计2025年半年度实现归属于上市公司股东的扣除非经常性损益的净利润约44亿元，与上年同期（法定披露数据）相比，减少29亿元左右，同比减少39%左右。</w:t>
      </w:r>
    </w:p>
    <w:p>
      <w:pPr>
        <w:spacing w:line="520" w:lineRule="exact"/>
        <w:ind w:firstLine="560" w:firstLineChars="200"/>
        <w:rPr>
          <w:rFonts w:hint="eastAsia" w:ascii="宋体" w:hAnsi="宋体"/>
          <w:sz w:val="28"/>
          <w:szCs w:val="28"/>
        </w:rPr>
      </w:pPr>
      <w:r>
        <w:rPr>
          <w:rFonts w:hint="eastAsia" w:ascii="宋体" w:hAnsi="宋体"/>
          <w:sz w:val="28"/>
          <w:szCs w:val="28"/>
        </w:rPr>
        <w:t>（三）本期业绩预告数据未经注册会计师审计。</w:t>
      </w:r>
    </w:p>
    <w:p>
      <w:pPr>
        <w:spacing w:line="520" w:lineRule="exact"/>
        <w:ind w:firstLine="562" w:firstLineChars="200"/>
        <w:rPr>
          <w:rFonts w:hint="eastAsia" w:ascii="宋体" w:hAnsi="宋体"/>
          <w:b/>
          <w:bCs/>
          <w:sz w:val="28"/>
          <w:szCs w:val="28"/>
        </w:rPr>
      </w:pPr>
      <w:r>
        <w:rPr>
          <w:rFonts w:hint="eastAsia" w:ascii="宋体" w:hAnsi="宋体"/>
          <w:b/>
          <w:bCs/>
          <w:sz w:val="28"/>
          <w:szCs w:val="28"/>
        </w:rPr>
        <w:t>二、上年同期业绩情况（按中国会计准则计算）</w:t>
      </w:r>
    </w:p>
    <w:p>
      <w:pPr>
        <w:spacing w:line="520" w:lineRule="exact"/>
        <w:ind w:firstLine="560" w:firstLineChars="200"/>
        <w:jc w:val="left"/>
        <w:rPr>
          <w:rFonts w:hint="eastAsia" w:ascii="宋体" w:hAnsi="宋体"/>
          <w:sz w:val="28"/>
          <w:szCs w:val="28"/>
        </w:rPr>
      </w:pPr>
      <w:r>
        <w:rPr>
          <w:rFonts w:hint="eastAsia" w:ascii="宋体" w:hAnsi="宋体"/>
          <w:sz w:val="28"/>
          <w:szCs w:val="28"/>
        </w:rPr>
        <w:t>（一）归属于上市公司股东的净利润：</w:t>
      </w:r>
      <w:r>
        <w:rPr>
          <w:rFonts w:ascii="宋体" w:hAnsi="宋体"/>
          <w:sz w:val="28"/>
          <w:szCs w:val="28"/>
        </w:rPr>
        <w:t>76</w:t>
      </w:r>
      <w:r>
        <w:rPr>
          <w:rFonts w:hint="eastAsia" w:ascii="宋体" w:hAnsi="宋体"/>
          <w:sz w:val="28"/>
          <w:szCs w:val="28"/>
        </w:rPr>
        <w:t>亿元。</w:t>
      </w:r>
    </w:p>
    <w:p>
      <w:pPr>
        <w:spacing w:line="520" w:lineRule="exact"/>
        <w:ind w:firstLine="560" w:firstLineChars="200"/>
        <w:jc w:val="left"/>
        <w:rPr>
          <w:rFonts w:hint="eastAsia" w:ascii="宋体" w:hAnsi="宋体"/>
          <w:sz w:val="28"/>
          <w:szCs w:val="28"/>
        </w:rPr>
      </w:pPr>
      <w:r>
        <w:rPr>
          <w:rFonts w:hint="eastAsia" w:ascii="宋体" w:hAnsi="宋体"/>
          <w:sz w:val="28"/>
          <w:szCs w:val="28"/>
        </w:rPr>
        <w:t>（二）归属于上市公司股东的扣除非经常性损益的净利润：</w:t>
      </w:r>
      <w:r>
        <w:rPr>
          <w:rFonts w:ascii="宋体" w:hAnsi="宋体"/>
          <w:sz w:val="28"/>
          <w:szCs w:val="28"/>
        </w:rPr>
        <w:t>73</w:t>
      </w:r>
      <w:r>
        <w:rPr>
          <w:rFonts w:hint="eastAsia" w:ascii="宋体" w:hAnsi="宋体"/>
          <w:sz w:val="28"/>
          <w:szCs w:val="28"/>
        </w:rPr>
        <w:t>亿元。</w:t>
      </w:r>
    </w:p>
    <w:p>
      <w:pPr>
        <w:spacing w:line="520" w:lineRule="exact"/>
        <w:ind w:firstLine="560" w:firstLineChars="200"/>
        <w:jc w:val="left"/>
        <w:rPr>
          <w:rFonts w:hint="eastAsia" w:ascii="宋体" w:hAnsi="宋体"/>
          <w:sz w:val="28"/>
          <w:szCs w:val="28"/>
        </w:rPr>
      </w:pPr>
      <w:r>
        <w:rPr>
          <w:rFonts w:hint="eastAsia" w:ascii="宋体" w:hAnsi="宋体"/>
          <w:sz w:val="28"/>
          <w:szCs w:val="28"/>
        </w:rPr>
        <w:t>（三）2024年下半年公司完成了2023年度股票股利派发，根据中国会计准则需对上年同期基本每股收益进行追溯调整，追溯调整后每股收益：0.79元/股。</w:t>
      </w:r>
    </w:p>
    <w:p>
      <w:pPr>
        <w:spacing w:line="520" w:lineRule="exact"/>
        <w:ind w:firstLine="562" w:firstLineChars="200"/>
        <w:rPr>
          <w:rFonts w:hint="eastAsia" w:ascii="宋体" w:hAnsi="宋体"/>
          <w:b/>
          <w:bCs/>
          <w:sz w:val="28"/>
          <w:szCs w:val="28"/>
        </w:rPr>
      </w:pPr>
      <w:r>
        <w:rPr>
          <w:rFonts w:hint="eastAsia" w:ascii="宋体" w:hAnsi="宋体"/>
          <w:b/>
          <w:bCs/>
          <w:sz w:val="28"/>
          <w:szCs w:val="28"/>
        </w:rPr>
        <w:t>三、本期业绩预告的主要原因</w:t>
      </w:r>
    </w:p>
    <w:p>
      <w:pPr>
        <w:autoSpaceDE w:val="0"/>
        <w:autoSpaceDN w:val="0"/>
        <w:adjustRightInd w:val="0"/>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报告期内，兖矿能源优化生产组织扩能增量，主要产品产能高效释放，挖潜增效精准发力，成本管控取得良好效果，化工业务实现较好协同增盈，一定程度上对冲了煤炭价格周期性下行影响。但由于煤炭供需总体宽松，煤价较同期大幅下降，影响归母净利润同比减少。</w:t>
      </w:r>
    </w:p>
    <w:p>
      <w:pPr>
        <w:autoSpaceDE w:val="0"/>
        <w:autoSpaceDN w:val="0"/>
        <w:adjustRightInd w:val="0"/>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下半年，公司将积极应对市场变化，科学合理优化生产组织，坚定不移释放优势产能；全面加强成本管理，最大限度挖潜降本增效；拓展营销增值渠道，持续挖掘价值创造潜能，为广大投资者创造良好价值回报。</w:t>
      </w:r>
    </w:p>
    <w:p>
      <w:pPr>
        <w:spacing w:line="520" w:lineRule="exact"/>
        <w:ind w:firstLine="562" w:firstLineChars="200"/>
        <w:rPr>
          <w:rFonts w:hint="eastAsia" w:ascii="宋体" w:hAnsi="宋体"/>
          <w:b/>
          <w:bCs/>
          <w:sz w:val="28"/>
          <w:szCs w:val="28"/>
        </w:rPr>
      </w:pPr>
      <w:r>
        <w:rPr>
          <w:rFonts w:hint="eastAsia" w:ascii="宋体" w:hAnsi="宋体"/>
          <w:b/>
          <w:bCs/>
          <w:sz w:val="28"/>
          <w:szCs w:val="28"/>
        </w:rPr>
        <w:t xml:space="preserve">四、风险提示 </w:t>
      </w:r>
    </w:p>
    <w:p>
      <w:pPr>
        <w:spacing w:line="520" w:lineRule="exact"/>
        <w:ind w:firstLine="560" w:firstLineChars="200"/>
        <w:rPr>
          <w:rFonts w:hint="eastAsia" w:ascii="宋体" w:hAnsi="宋体"/>
          <w:sz w:val="28"/>
          <w:szCs w:val="28"/>
        </w:rPr>
      </w:pPr>
      <w:r>
        <w:rPr>
          <w:rFonts w:hint="eastAsia" w:ascii="宋体" w:hAnsi="宋体"/>
          <w:sz w:val="28"/>
          <w:szCs w:val="28"/>
        </w:rPr>
        <w:t>截至目前公司不存在影响本次业绩预告内容准确性的重大不确定因素。</w:t>
      </w:r>
    </w:p>
    <w:p>
      <w:pPr>
        <w:spacing w:line="520" w:lineRule="exact"/>
        <w:ind w:firstLine="562" w:firstLineChars="200"/>
        <w:rPr>
          <w:rFonts w:hint="eastAsia" w:ascii="宋体" w:hAnsi="宋体"/>
          <w:b/>
          <w:bCs/>
          <w:sz w:val="28"/>
          <w:szCs w:val="28"/>
        </w:rPr>
      </w:pPr>
      <w:r>
        <w:rPr>
          <w:rFonts w:hint="eastAsia" w:ascii="宋体" w:hAnsi="宋体"/>
          <w:b/>
          <w:bCs/>
          <w:sz w:val="28"/>
          <w:szCs w:val="28"/>
        </w:rPr>
        <w:t>五、其他说明事项</w:t>
      </w:r>
    </w:p>
    <w:p>
      <w:pPr>
        <w:spacing w:line="520" w:lineRule="exact"/>
        <w:ind w:firstLine="560" w:firstLineChars="200"/>
        <w:rPr>
          <w:rFonts w:hint="eastAsia" w:ascii="宋体" w:hAnsi="宋体"/>
          <w:sz w:val="28"/>
          <w:szCs w:val="28"/>
        </w:rPr>
      </w:pPr>
      <w:r>
        <w:rPr>
          <w:rFonts w:hint="eastAsia" w:ascii="宋体" w:hAnsi="宋体"/>
          <w:sz w:val="28"/>
          <w:szCs w:val="28"/>
        </w:rPr>
        <w:t>以上预告数据仅为初步核算数据，具体准确的财务数据以公司正式披露的2025年半年度报告为准，敬请广大投资者注意投资风险。</w:t>
      </w:r>
    </w:p>
    <w:p>
      <w:pPr>
        <w:spacing w:line="520" w:lineRule="exact"/>
        <w:ind w:firstLine="560" w:firstLineChars="200"/>
        <w:rPr>
          <w:rFonts w:hint="eastAsia" w:ascii="宋体" w:hAnsi="宋体"/>
          <w:sz w:val="28"/>
          <w:szCs w:val="28"/>
        </w:rPr>
      </w:pPr>
      <w:r>
        <w:rPr>
          <w:rFonts w:hint="eastAsia" w:ascii="宋体" w:hAnsi="宋体"/>
          <w:color w:val="000000"/>
          <w:sz w:val="28"/>
          <w:szCs w:val="28"/>
        </w:rPr>
        <w:t>公司已于2025年7月11日完成</w:t>
      </w:r>
      <w:r>
        <w:rPr>
          <w:rFonts w:ascii="宋体" w:hAnsi="宋体"/>
          <w:color w:val="000000"/>
          <w:sz w:val="28"/>
          <w:szCs w:val="28"/>
        </w:rPr>
        <w:t>收购西北矿业</w:t>
      </w:r>
      <w:r>
        <w:rPr>
          <w:rFonts w:hint="eastAsia" w:ascii="宋体" w:hAnsi="宋体"/>
          <w:color w:val="000000"/>
          <w:sz w:val="28"/>
          <w:szCs w:val="28"/>
        </w:rPr>
        <w:t>51%股权的交割程序，自2025年7月起，西北矿业的财务报表纳入公司合并范围。根据中国会计准则的规定，上述事项构成同一控制下企业合并，公司将在2025年第三季度报告中，对相关财务数据进行追溯调整，并入西北矿业以前各年度及2025年1月以来财务数据。</w:t>
      </w:r>
      <w:r>
        <w:rPr>
          <w:rFonts w:ascii="宋体" w:hAnsi="宋体"/>
          <w:sz w:val="28"/>
          <w:szCs w:val="28"/>
        </w:rPr>
        <w:cr/>
      </w:r>
    </w:p>
    <w:p>
      <w:pPr>
        <w:spacing w:line="520" w:lineRule="exact"/>
        <w:ind w:firstLine="560" w:firstLineChars="200"/>
        <w:rPr>
          <w:rFonts w:hint="eastAsia" w:ascii="宋体" w:hAnsi="宋体"/>
          <w:sz w:val="28"/>
          <w:szCs w:val="28"/>
        </w:rPr>
      </w:pPr>
      <w:r>
        <w:rPr>
          <w:rFonts w:hint="eastAsia" w:ascii="宋体" w:hAnsi="宋体"/>
          <w:sz w:val="28"/>
          <w:szCs w:val="28"/>
        </w:rPr>
        <w:t>特此公告。</w:t>
      </w:r>
    </w:p>
    <w:p>
      <w:pPr>
        <w:spacing w:line="520" w:lineRule="exact"/>
        <w:ind w:firstLine="560" w:firstLineChars="200"/>
        <w:rPr>
          <w:rFonts w:hint="eastAsia" w:ascii="宋体" w:hAnsi="宋体"/>
          <w:sz w:val="28"/>
          <w:szCs w:val="28"/>
        </w:rPr>
      </w:pPr>
    </w:p>
    <w:p>
      <w:pPr>
        <w:spacing w:line="520" w:lineRule="exact"/>
        <w:jc w:val="right"/>
        <w:rPr>
          <w:rFonts w:hint="eastAsia" w:ascii="宋体" w:hAnsi="宋体"/>
          <w:sz w:val="28"/>
          <w:szCs w:val="28"/>
        </w:rPr>
      </w:pPr>
    </w:p>
    <w:p>
      <w:pPr>
        <w:spacing w:line="520" w:lineRule="exact"/>
        <w:ind w:firstLine="560" w:firstLineChars="200"/>
        <w:jc w:val="right"/>
        <w:rPr>
          <w:rFonts w:hint="eastAsia" w:ascii="宋体" w:hAnsi="宋体"/>
          <w:sz w:val="28"/>
          <w:szCs w:val="28"/>
        </w:rPr>
      </w:pPr>
      <w:r>
        <w:rPr>
          <w:rFonts w:hint="eastAsia" w:ascii="宋体" w:hAnsi="宋体"/>
          <w:sz w:val="28"/>
          <w:szCs w:val="28"/>
        </w:rPr>
        <w:t>兖矿能源集团股份有限公司董事会</w:t>
      </w:r>
    </w:p>
    <w:p>
      <w:pPr>
        <w:spacing w:line="520" w:lineRule="exact"/>
        <w:ind w:right="560" w:firstLine="560" w:firstLineChars="200"/>
        <w:jc w:val="right"/>
        <w:rPr>
          <w:rFonts w:hint="eastAsia" w:ascii="宋体" w:hAnsi="宋体"/>
          <w:sz w:val="28"/>
          <w:szCs w:val="28"/>
        </w:rPr>
      </w:pPr>
      <w:r>
        <w:rPr>
          <w:rFonts w:hint="eastAsia" w:ascii="宋体" w:hAnsi="宋体"/>
          <w:sz w:val="28"/>
          <w:szCs w:val="28"/>
        </w:rPr>
        <w:t>2025年</w:t>
      </w:r>
      <w:r>
        <w:rPr>
          <w:rFonts w:ascii="宋体" w:hAnsi="宋体"/>
          <w:sz w:val="28"/>
          <w:szCs w:val="28"/>
        </w:rPr>
        <w:t>8</w:t>
      </w:r>
      <w:r>
        <w:rPr>
          <w:rFonts w:hint="eastAsia" w:ascii="宋体" w:hAnsi="宋体"/>
          <w:sz w:val="28"/>
          <w:szCs w:val="28"/>
        </w:rPr>
        <w:t>月1</w:t>
      </w:r>
      <w:r>
        <w:rPr>
          <w:rFonts w:ascii="宋体" w:hAnsi="宋体"/>
          <w:sz w:val="28"/>
          <w:szCs w:val="28"/>
        </w:rPr>
        <w:t>3</w:t>
      </w:r>
      <w:r>
        <w:rPr>
          <w:rFonts w:hint="eastAsia" w:ascii="宋体" w:hAnsi="宋体"/>
          <w:sz w:val="28"/>
          <w:szCs w:val="28"/>
        </w:rPr>
        <w:t xml:space="preserve">日 </w:t>
      </w:r>
      <w:r>
        <w:rPr>
          <w:rFonts w:ascii="宋体" w:hAnsi="宋体"/>
          <w:sz w:val="28"/>
          <w:szCs w:val="28"/>
        </w:rPr>
        <w:t xml:space="preserve">    </w:t>
      </w:r>
    </w:p>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2984120"/>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pPr>
      <w:pStyle w:val="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0002C"/>
    <w:multiLevelType w:val="multilevel"/>
    <w:tmpl w:val="74A0002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s>
  <w:rsids>
    <w:rsidRoot w:val="004918FE"/>
    <w:rsid w:val="00265B74"/>
    <w:rsid w:val="003E7792"/>
    <w:rsid w:val="004918FE"/>
    <w:rsid w:val="004F3F00"/>
    <w:rsid w:val="00534DDE"/>
    <w:rsid w:val="005A5D66"/>
    <w:rsid w:val="008C37C5"/>
    <w:rsid w:val="0092546F"/>
    <w:rsid w:val="00954B2B"/>
    <w:rsid w:val="00AE4D3A"/>
    <w:rsid w:val="00BB4909"/>
    <w:rsid w:val="00C33611"/>
    <w:rsid w:val="00FA078A"/>
    <w:rsid w:val="3EBA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220" w:after="210"/>
      <w:ind w:firstLine="200" w:firstLineChars="200"/>
      <w:outlineLvl w:val="0"/>
    </w:pPr>
    <w:rPr>
      <w:rFonts w:ascii="Calibri" w:hAnsi="Calibri"/>
      <w:b/>
      <w:bCs/>
      <w:kern w:val="44"/>
      <w:sz w:val="2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标题 1 字符"/>
    <w:basedOn w:val="8"/>
    <w:link w:val="2"/>
    <w:qFormat/>
    <w:uiPriority w:val="9"/>
    <w:rPr>
      <w:rFonts w:ascii="Calibri" w:hAnsi="Calibri" w:eastAsia="宋体" w:cs="Times New Roman"/>
      <w:b/>
      <w:bCs/>
      <w:kern w:val="44"/>
      <w:sz w:val="24"/>
      <w:szCs w:val="44"/>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页眉 字符"/>
    <w:basedOn w:val="8"/>
    <w:link w:val="5"/>
    <w:qFormat/>
    <w:uiPriority w:val="99"/>
    <w:rPr>
      <w:rFonts w:ascii="Times New Roman" w:hAnsi="Times New Roman" w:eastAsia="宋体" w:cs="Times New Roman"/>
      <w:sz w:val="18"/>
      <w:szCs w:val="18"/>
    </w:rPr>
  </w:style>
  <w:style w:type="paragraph" w:styleId="13">
    <w:name w:val="List Paragraph"/>
    <w:basedOn w:val="1"/>
    <w:unhideWhenUsed/>
    <w:qFormat/>
    <w:uiPriority w:val="99"/>
    <w:pPr>
      <w:ind w:firstLine="420" w:firstLineChars="200"/>
    </w:pPr>
  </w:style>
  <w:style w:type="table" w:customStyle="1" w:styleId="14">
    <w:name w:val="网格型1"/>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批注框文本 字符"/>
    <w:basedOn w:val="8"/>
    <w:link w:val="3"/>
    <w:semiHidden/>
    <w:uiPriority w:val="99"/>
    <w:rPr>
      <w:rFonts w:ascii="Times New Roman" w:hAnsi="Times New Roman" w:eastAsia="宋体" w:cs="Times New Roman"/>
      <w:sz w:val="18"/>
      <w:szCs w:val="18"/>
    </w:rPr>
  </w:style>
  <w:style w:type="paragraph" w:customStyle="1" w:styleId="16">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1103</Words>
  <Characters>1195</Characters>
  <Lines>8</Lines>
  <Paragraphs>2</Paragraphs>
  <TotalTime>170</TotalTime>
  <ScaleCrop>false</ScaleCrop>
  <LinksUpToDate>false</LinksUpToDate>
  <CharactersWithSpaces>1227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2025-08-10T06:42:00Z</dcterms:created>
  <dc:creator>熊振中</dc:creator>
  <cp:lastModifiedBy>YUANSU HU</cp:lastModifiedBy>
  <cp:lastPrinted>2025-08-13T07:13:00Z</cp:lastPrinted>
  <dcterms:modified xsi:type="dcterms:W3CDTF">2025-08-13T08:10:56Z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</vt:lpwstr>
  </property>
  <property fmtid="{D5CDD505-2E9C-101B-9397-08002B2CF9AE}" pid="3" name="KSOTemplateDocerSaveRecord">
    <vt:lpwstr>eyJoZGlkIjoiYmM1MzgwZDc2OWE1YWVkNTIyNmEyZTU2MDUyODAwM2UiLCJ1c2VySWQiOiI1ODk2NzczMTcifQ==</vt:lpwstr>
  </property>
  <property fmtid="{D5CDD505-2E9C-101B-9397-08002B2CF9AE}" pid="4" name="KSOProductBuildVer">
    <vt:lpwstr>2052-11.1.0.14309</vt:lpwstr>
  </property>
  <property fmtid="{D5CDD505-2E9C-101B-9397-08002B2CF9AE}" pid="5" name="ICV">
    <vt:lpwstr>93E115F2FAE5425992AF5D020FC2634F_12</vt:lpwstr>
  </property>
</Properties>
</file>