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24" w:rsidRDefault="00AD7D12">
      <w:pPr>
        <w:spacing w:after="540"/>
        <w:ind w:left="72" w:right="216"/>
        <w:jc w:val="both"/>
        <w:rPr>
          <w:rFonts w:ascii="Times New Roman" w:hAnsi="Times New Roman"/>
          <w:i/>
          <w:color w:val="000000"/>
          <w:spacing w:val="-6"/>
          <w:w w:val="105"/>
          <w:lang w:eastAsia="zh-CN"/>
        </w:rPr>
      </w:pPr>
      <w:r w:rsidRPr="0094183B">
        <w:rPr>
          <w:rFonts w:ascii="Times New Roman" w:hAnsi="Times New Roman"/>
          <w:i/>
          <w:color w:val="000000"/>
          <w:spacing w:val="-5"/>
          <w:w w:val="105"/>
        </w:rPr>
        <w:t xml:space="preserve">Hong Kong Exchanges and Clearing Limited and The Stock Exchange of Hong Kong Limited </w:t>
      </w:r>
      <w:r w:rsidRPr="0094183B">
        <w:rPr>
          <w:rFonts w:ascii="Times New Roman" w:hAnsi="Times New Roman"/>
          <w:i/>
          <w:color w:val="000000"/>
          <w:spacing w:val="-6"/>
          <w:w w:val="105"/>
        </w:rPr>
        <w:t xml:space="preserve">take no responsibility for the contents of this announcement, make no representation as to its </w:t>
      </w:r>
      <w:r w:rsidRPr="0094183B">
        <w:rPr>
          <w:rFonts w:ascii="Times New Roman" w:hAnsi="Times New Roman"/>
          <w:i/>
          <w:color w:val="000000"/>
          <w:spacing w:val="-1"/>
          <w:w w:val="105"/>
        </w:rPr>
        <w:t xml:space="preserve">accuracy or completeness and expressly disclaim any liability whatsoever for any loss </w:t>
      </w:r>
      <w:r w:rsidRPr="0094183B">
        <w:rPr>
          <w:rFonts w:ascii="Times New Roman" w:hAnsi="Times New Roman"/>
          <w:i/>
          <w:color w:val="000000"/>
          <w:spacing w:val="-3"/>
          <w:w w:val="105"/>
        </w:rPr>
        <w:t xml:space="preserve">howsoever arising from or in reliance upon the whole or any part of the contents of this </w:t>
      </w:r>
      <w:r w:rsidRPr="0094183B">
        <w:rPr>
          <w:rFonts w:ascii="Times New Roman" w:hAnsi="Times New Roman"/>
          <w:i/>
          <w:color w:val="000000"/>
          <w:spacing w:val="-6"/>
          <w:w w:val="105"/>
        </w:rPr>
        <w:t>announcement.</w:t>
      </w:r>
    </w:p>
    <w:p w:rsidR="00651424" w:rsidRDefault="00AD7D12">
      <w:pPr>
        <w:spacing w:after="59"/>
        <w:ind w:left="3653" w:right="3759"/>
        <w:jc w:val="center"/>
      </w:pPr>
      <w:r>
        <w:rPr>
          <w:noProof/>
          <w:lang w:eastAsia="zh-CN"/>
        </w:rPr>
        <w:drawing>
          <wp:inline distT="0" distB="0" distL="0" distR="0">
            <wp:extent cx="779780" cy="70739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1" name="pic"/>
                    <pic:cNvPicPr preferRelativeResize="0"/>
                  </pic:nvPicPr>
                  <pic:blipFill>
                    <a:blip r:embed="rId9"/>
                    <a:stretch>
                      <a:fillRect/>
                    </a:stretch>
                  </pic:blipFill>
                  <pic:spPr>
                    <a:xfrm>
                      <a:off x="0" y="0"/>
                      <a:ext cx="779780" cy="707390"/>
                    </a:xfrm>
                    <a:prstGeom prst="rect">
                      <a:avLst/>
                    </a:prstGeom>
                  </pic:spPr>
                </pic:pic>
              </a:graphicData>
            </a:graphic>
          </wp:inline>
        </w:drawing>
      </w:r>
    </w:p>
    <w:p w:rsidR="00651424" w:rsidRDefault="00AD7D12" w:rsidP="00E66EF5">
      <w:pPr>
        <w:spacing w:before="72" w:after="100" w:line="197" w:lineRule="auto"/>
        <w:jc w:val="center"/>
        <w:rPr>
          <w:rFonts w:ascii="宋体" w:hAnsi="宋体"/>
          <w:b/>
          <w:color w:val="000000"/>
          <w:sz w:val="36"/>
        </w:rPr>
      </w:pPr>
      <w:r>
        <w:rPr>
          <w:rFonts w:ascii="宋体" w:hAnsi="宋体"/>
          <w:b/>
          <w:color w:val="000000"/>
          <w:sz w:val="36"/>
        </w:rPr>
        <w:t>兗州煤業股份有限公司</w:t>
      </w:r>
      <w:r>
        <w:rPr>
          <w:rFonts w:ascii="Times New Roman" w:hAnsi="Times New Roman"/>
          <w:b/>
          <w:color w:val="000000"/>
          <w:sz w:val="36"/>
        </w:rPr>
        <w:t xml:space="preserve"> </w:t>
      </w:r>
      <w:r>
        <w:rPr>
          <w:rFonts w:ascii="Times New Roman" w:hAnsi="Times New Roman"/>
          <w:b/>
          <w:color w:val="000000"/>
          <w:sz w:val="36"/>
        </w:rPr>
        <w:br/>
      </w:r>
      <w:r>
        <w:rPr>
          <w:rFonts w:ascii="Times New Roman" w:hAnsi="Times New Roman"/>
          <w:b/>
          <w:color w:val="000000"/>
          <w:spacing w:val="-2"/>
          <w:sz w:val="36"/>
        </w:rPr>
        <w:t>YANZHOU COAL MINING COMPANY LIMITED</w:t>
      </w:r>
    </w:p>
    <w:p w:rsidR="00651424" w:rsidRDefault="00AD7D12" w:rsidP="009256B1">
      <w:pPr>
        <w:spacing w:before="72" w:after="120"/>
        <w:jc w:val="center"/>
        <w:rPr>
          <w:rFonts w:ascii="Times New Roman" w:hAnsi="Times New Roman"/>
          <w:i/>
          <w:color w:val="000000"/>
          <w:spacing w:val="-7"/>
          <w:w w:val="105"/>
        </w:rPr>
      </w:pPr>
      <w:r w:rsidRPr="009256B1">
        <w:rPr>
          <w:rFonts w:ascii="Times New Roman" w:hAnsi="Times New Roman"/>
          <w:i/>
          <w:color w:val="000000"/>
          <w:spacing w:val="-7"/>
          <w:w w:val="105"/>
          <w:sz w:val="24"/>
        </w:rPr>
        <w:t>(</w:t>
      </w:r>
      <w:r w:rsidRPr="009256B1">
        <w:rPr>
          <w:rFonts w:ascii="Times New Roman" w:hAnsi="Times New Roman"/>
          <w:i/>
          <w:color w:val="000000"/>
          <w:spacing w:val="-7"/>
          <w:w w:val="110"/>
        </w:rPr>
        <w:t xml:space="preserve">A joint stock limited company incorporated in the People’s Republic of China </w:t>
      </w:r>
      <w:r w:rsidR="00515A71" w:rsidRPr="009256B1">
        <w:rPr>
          <w:rFonts w:ascii="Times New Roman" w:eastAsia="PMingLiU" w:hAnsi="Times New Roman" w:hint="eastAsia"/>
          <w:i/>
          <w:color w:val="000000"/>
          <w:spacing w:val="-7"/>
          <w:w w:val="110"/>
          <w:lang w:eastAsia="zh-TW"/>
        </w:rPr>
        <w:t xml:space="preserve">(the </w:t>
      </w:r>
      <w:r w:rsidR="00515A71" w:rsidRPr="009256B1">
        <w:rPr>
          <w:rFonts w:ascii="Times New Roman" w:eastAsia="PMingLiU" w:hAnsi="Times New Roman"/>
          <w:i/>
          <w:color w:val="000000"/>
          <w:spacing w:val="-7"/>
          <w:w w:val="110"/>
          <w:lang w:eastAsia="zh-TW"/>
        </w:rPr>
        <w:t>“</w:t>
      </w:r>
      <w:r w:rsidR="00515A71" w:rsidRPr="009256B1">
        <w:rPr>
          <w:rFonts w:ascii="Times New Roman" w:eastAsia="PMingLiU" w:hAnsi="Times New Roman" w:hint="eastAsia"/>
          <w:b/>
          <w:i/>
          <w:color w:val="000000"/>
          <w:spacing w:val="-7"/>
          <w:w w:val="110"/>
          <w:lang w:eastAsia="zh-TW"/>
        </w:rPr>
        <w:t>PRC</w:t>
      </w:r>
      <w:r w:rsidR="00515A71" w:rsidRPr="009256B1">
        <w:rPr>
          <w:rFonts w:ascii="Times New Roman" w:eastAsia="PMingLiU" w:hAnsi="Times New Roman"/>
          <w:i/>
          <w:color w:val="000000"/>
          <w:spacing w:val="-7"/>
          <w:w w:val="110"/>
          <w:lang w:eastAsia="zh-TW"/>
        </w:rPr>
        <w:t>”</w:t>
      </w:r>
      <w:r w:rsidR="00515A71" w:rsidRPr="009256B1">
        <w:rPr>
          <w:rFonts w:ascii="Times New Roman" w:eastAsia="PMingLiU" w:hAnsi="Times New Roman" w:hint="eastAsia"/>
          <w:i/>
          <w:color w:val="000000"/>
          <w:spacing w:val="-7"/>
          <w:w w:val="110"/>
          <w:lang w:eastAsia="zh-TW"/>
        </w:rPr>
        <w:t xml:space="preserve">) </w:t>
      </w:r>
      <w:r w:rsidRPr="009256B1">
        <w:rPr>
          <w:rFonts w:ascii="Times New Roman" w:hAnsi="Times New Roman"/>
          <w:i/>
          <w:color w:val="000000"/>
          <w:spacing w:val="-7"/>
          <w:w w:val="110"/>
        </w:rPr>
        <w:t>with limited liability</w:t>
      </w:r>
      <w:r w:rsidRPr="009256B1">
        <w:rPr>
          <w:rFonts w:ascii="Times New Roman" w:hAnsi="Times New Roman"/>
          <w:i/>
          <w:color w:val="000000"/>
          <w:spacing w:val="-7"/>
          <w:w w:val="105"/>
          <w:sz w:val="24"/>
        </w:rPr>
        <w:t>)</w:t>
      </w:r>
    </w:p>
    <w:p w:rsidR="00651424" w:rsidRPr="00914625" w:rsidRDefault="00AD7D12" w:rsidP="009256B1">
      <w:pPr>
        <w:spacing w:after="240"/>
        <w:ind w:left="3459"/>
        <w:rPr>
          <w:rFonts w:ascii="Times New Roman" w:hAnsi="Times New Roman"/>
          <w:b/>
          <w:color w:val="000000"/>
          <w:spacing w:val="-6"/>
          <w:w w:val="105"/>
          <w:sz w:val="20"/>
          <w:lang w:eastAsia="zh-CN"/>
        </w:rPr>
      </w:pPr>
      <w:r w:rsidRPr="009256B1">
        <w:rPr>
          <w:rFonts w:ascii="Times New Roman" w:hAnsi="Times New Roman"/>
          <w:b/>
          <w:color w:val="000000"/>
          <w:spacing w:val="-6"/>
          <w:w w:val="105"/>
        </w:rPr>
        <w:t>(Stock Code: 1171)</w:t>
      </w:r>
    </w:p>
    <w:p w:rsidR="00651424" w:rsidRDefault="00A761C7" w:rsidP="00A11007">
      <w:pPr>
        <w:spacing w:before="60" w:after="60"/>
        <w:jc w:val="center"/>
        <w:rPr>
          <w:rFonts w:ascii="Times New Roman" w:hAnsi="Times New Roman"/>
          <w:b/>
          <w:color w:val="000000"/>
          <w:spacing w:val="-8"/>
          <w:w w:val="105"/>
          <w:sz w:val="28"/>
          <w:lang w:eastAsia="zh-CN"/>
        </w:rPr>
      </w:pPr>
      <w:r>
        <w:rPr>
          <w:rFonts w:ascii="Times New Roman" w:hAnsi="Times New Roman" w:hint="eastAsia"/>
          <w:b/>
          <w:color w:val="000000"/>
          <w:spacing w:val="-8"/>
          <w:w w:val="105"/>
          <w:sz w:val="28"/>
          <w:lang w:eastAsia="zh-CN"/>
        </w:rPr>
        <w:t>ANNOUNCEMENT ON RESULTS OF THE ISSUANCE OF THE 201</w:t>
      </w:r>
      <w:r w:rsidR="0020111C">
        <w:rPr>
          <w:rFonts w:ascii="Times New Roman" w:hAnsi="Times New Roman" w:hint="eastAsia"/>
          <w:b/>
          <w:color w:val="000000"/>
          <w:spacing w:val="-8"/>
          <w:w w:val="105"/>
          <w:sz w:val="28"/>
          <w:lang w:eastAsia="zh-CN"/>
        </w:rPr>
        <w:t>7</w:t>
      </w:r>
      <w:r>
        <w:rPr>
          <w:rFonts w:ascii="Times New Roman" w:hAnsi="Times New Roman" w:hint="eastAsia"/>
          <w:b/>
          <w:color w:val="000000"/>
          <w:spacing w:val="-8"/>
          <w:w w:val="105"/>
          <w:sz w:val="28"/>
          <w:lang w:eastAsia="zh-CN"/>
        </w:rPr>
        <w:t xml:space="preserve"> </w:t>
      </w:r>
      <w:r w:rsidR="00716C2E">
        <w:rPr>
          <w:rFonts w:ascii="Times New Roman" w:hAnsi="Times New Roman" w:hint="eastAsia"/>
          <w:b/>
          <w:color w:val="000000"/>
          <w:spacing w:val="-8"/>
          <w:w w:val="105"/>
          <w:sz w:val="28"/>
          <w:lang w:eastAsia="zh-CN"/>
        </w:rPr>
        <w:t>SEVENTH</w:t>
      </w:r>
      <w:r w:rsidR="007B4F58">
        <w:rPr>
          <w:rFonts w:ascii="Times New Roman" w:hAnsi="Times New Roman"/>
          <w:b/>
          <w:color w:val="000000"/>
          <w:spacing w:val="-8"/>
          <w:w w:val="105"/>
          <w:sz w:val="28"/>
          <w:lang w:eastAsia="zh-CN"/>
        </w:rPr>
        <w:t xml:space="preserve"> </w:t>
      </w:r>
      <w:r>
        <w:rPr>
          <w:rFonts w:ascii="Times New Roman" w:hAnsi="Times New Roman" w:hint="eastAsia"/>
          <w:b/>
          <w:color w:val="000000"/>
          <w:spacing w:val="-8"/>
          <w:w w:val="105"/>
          <w:sz w:val="28"/>
          <w:lang w:eastAsia="zh-CN"/>
        </w:rPr>
        <w:t>TRANCHE OF SU</w:t>
      </w:r>
      <w:bookmarkStart w:id="0" w:name="_GoBack"/>
      <w:bookmarkEnd w:id="0"/>
      <w:r>
        <w:rPr>
          <w:rFonts w:ascii="Times New Roman" w:hAnsi="Times New Roman" w:hint="eastAsia"/>
          <w:b/>
          <w:color w:val="000000"/>
          <w:spacing w:val="-8"/>
          <w:w w:val="105"/>
          <w:sz w:val="28"/>
          <w:lang w:eastAsia="zh-CN"/>
        </w:rPr>
        <w:t>PER-SHORT-TERM BONDS</w:t>
      </w:r>
    </w:p>
    <w:p w:rsidR="00651424" w:rsidRDefault="00AD7D12" w:rsidP="00E66EF5">
      <w:pPr>
        <w:pBdr>
          <w:top w:val="single" w:sz="4" w:space="0" w:color="000000"/>
          <w:left w:val="single" w:sz="4" w:space="3" w:color="000000"/>
          <w:bottom w:val="single" w:sz="4" w:space="0" w:color="000000"/>
          <w:right w:val="single" w:sz="4" w:space="10" w:color="000000"/>
        </w:pBdr>
        <w:ind w:left="72" w:right="216"/>
        <w:jc w:val="both"/>
        <w:rPr>
          <w:rFonts w:ascii="Times New Roman" w:hAnsi="Times New Roman"/>
          <w:color w:val="000000"/>
          <w:spacing w:val="-3"/>
          <w:w w:val="105"/>
          <w:sz w:val="24"/>
          <w:lang w:eastAsia="zh-CN"/>
        </w:rPr>
      </w:pPr>
      <w:r>
        <w:rPr>
          <w:rFonts w:ascii="Times New Roman" w:hAnsi="Times New Roman"/>
          <w:color w:val="000000"/>
          <w:spacing w:val="-3"/>
          <w:w w:val="105"/>
          <w:sz w:val="24"/>
        </w:rPr>
        <w:t xml:space="preserve">This announcement is made pursuant to Part XIVA of the Securities and Futures </w:t>
      </w:r>
      <w:r>
        <w:rPr>
          <w:rFonts w:ascii="Times New Roman" w:hAnsi="Times New Roman"/>
          <w:color w:val="000000"/>
          <w:spacing w:val="-5"/>
          <w:w w:val="105"/>
          <w:sz w:val="24"/>
        </w:rPr>
        <w:t xml:space="preserve">Ordinance and Rules 13.09(2)(a) and 13.10B of the Rules Governing the Listing of </w:t>
      </w:r>
      <w:r>
        <w:rPr>
          <w:rFonts w:ascii="Times New Roman" w:hAnsi="Times New Roman"/>
          <w:color w:val="000000"/>
          <w:spacing w:val="-3"/>
          <w:w w:val="105"/>
          <w:sz w:val="24"/>
        </w:rPr>
        <w:t>Securities on The Stock</w:t>
      </w:r>
      <w:r w:rsidR="00E66EF5">
        <w:rPr>
          <w:rFonts w:ascii="Times New Roman" w:hAnsi="Times New Roman"/>
          <w:color w:val="000000"/>
          <w:spacing w:val="-3"/>
          <w:w w:val="105"/>
          <w:sz w:val="24"/>
        </w:rPr>
        <w:t xml:space="preserve"> Exchange of Hong Kong Limited.</w:t>
      </w:r>
    </w:p>
    <w:p w:rsidR="00A761C7" w:rsidRPr="00A9143B" w:rsidRDefault="00A761C7" w:rsidP="00A61B74">
      <w:pPr>
        <w:autoSpaceDE w:val="0"/>
        <w:autoSpaceDN w:val="0"/>
        <w:adjustRightInd w:val="0"/>
        <w:jc w:val="both"/>
        <w:rPr>
          <w:rFonts w:ascii="Times New Roman" w:eastAsia="TimesNewRomanPSMT" w:hAnsi="Times New Roman" w:cs="Times New Roman"/>
          <w:sz w:val="24"/>
          <w:szCs w:val="24"/>
          <w:lang w:val="en-GB" w:eastAsia="zh-CN"/>
        </w:rPr>
      </w:pPr>
      <w:r w:rsidRPr="00A9143B">
        <w:rPr>
          <w:rFonts w:ascii="Times New Roman" w:eastAsia="TimesNewRomanPSMT" w:hAnsi="Times New Roman" w:cs="Times New Roman"/>
          <w:sz w:val="24"/>
          <w:szCs w:val="24"/>
          <w:lang w:val="en-GB"/>
        </w:rPr>
        <w:t xml:space="preserve">On </w:t>
      </w:r>
      <w:r w:rsidR="00CB0809">
        <w:rPr>
          <w:rFonts w:ascii="Times New Roman" w:eastAsia="TimesNewRomanPSMT" w:hAnsi="Times New Roman" w:cs="Times New Roman" w:hint="eastAsia"/>
          <w:sz w:val="24"/>
          <w:szCs w:val="24"/>
          <w:lang w:val="en-GB" w:eastAsia="zh-CN"/>
        </w:rPr>
        <w:t>14 February 2017</w:t>
      </w:r>
      <w:r w:rsidRPr="00A9143B">
        <w:rPr>
          <w:rFonts w:ascii="Times New Roman" w:eastAsia="TimesNewRomanPSMT" w:hAnsi="Times New Roman" w:cs="Times New Roman"/>
          <w:sz w:val="24"/>
          <w:szCs w:val="24"/>
          <w:lang w:val="en-GB"/>
        </w:rPr>
        <w:t xml:space="preserve">, Yanzhou Coal Mining Company Limited </w:t>
      </w:r>
      <w:r w:rsidRPr="00A9143B">
        <w:rPr>
          <w:rFonts w:ascii="Times New Roman" w:eastAsia="TimesNewRomanPSMT" w:hAnsi="Times New Roman" w:cs="Times New Roman" w:hint="eastAsia"/>
          <w:sz w:val="24"/>
          <w:szCs w:val="24"/>
          <w:lang w:val="en-GB"/>
        </w:rPr>
        <w:t>(</w:t>
      </w:r>
      <w:r w:rsidRPr="00A9143B">
        <w:rPr>
          <w:rFonts w:ascii="Times New Roman" w:eastAsia="TimesNewRomanPSMT" w:hAnsi="Times New Roman" w:cs="Times New Roman"/>
          <w:sz w:val="24"/>
          <w:szCs w:val="24"/>
          <w:lang w:val="en-GB"/>
        </w:rPr>
        <w:t xml:space="preserve">the </w:t>
      </w:r>
      <w:r w:rsidR="00C63A01">
        <w:rPr>
          <w:rFonts w:ascii="Times New Roman" w:eastAsia="PMingLiU" w:hAnsi="Times New Roman" w:cs="Times New Roman"/>
          <w:sz w:val="24"/>
          <w:szCs w:val="24"/>
          <w:lang w:val="en-GB" w:eastAsia="zh-TW"/>
        </w:rPr>
        <w:t>“</w:t>
      </w:r>
      <w:r w:rsidRPr="00A9143B">
        <w:rPr>
          <w:rFonts w:ascii="Times New Roman" w:eastAsia="TimesNewRomanPSMT" w:hAnsi="Times New Roman" w:cs="Times New Roman"/>
          <w:b/>
          <w:sz w:val="24"/>
          <w:szCs w:val="24"/>
          <w:lang w:val="en-GB"/>
        </w:rPr>
        <w:t>Company</w:t>
      </w:r>
      <w:r w:rsidR="00C63A01" w:rsidRPr="009256B1">
        <w:rPr>
          <w:rFonts w:ascii="Times New Roman" w:eastAsia="PMingLiU" w:hAnsi="Times New Roman" w:cs="Times New Roman"/>
          <w:sz w:val="24"/>
          <w:szCs w:val="24"/>
          <w:lang w:val="en-GB" w:eastAsia="zh-TW"/>
        </w:rPr>
        <w:t>”</w:t>
      </w:r>
      <w:r w:rsidRPr="00A9143B">
        <w:rPr>
          <w:rFonts w:ascii="Times New Roman" w:eastAsia="TimesNewRomanPSMT" w:hAnsi="Times New Roman" w:cs="Times New Roman" w:hint="eastAsia"/>
          <w:sz w:val="24"/>
          <w:szCs w:val="24"/>
          <w:lang w:val="en-GB"/>
        </w:rPr>
        <w:t>)</w:t>
      </w:r>
      <w:r w:rsidRPr="00A9143B">
        <w:rPr>
          <w:rFonts w:ascii="Times New Roman" w:eastAsia="TimesNewRomanPSMT" w:hAnsi="Times New Roman" w:cs="Times New Roman"/>
          <w:sz w:val="24"/>
          <w:szCs w:val="24"/>
          <w:lang w:val="en-GB"/>
        </w:rPr>
        <w:t xml:space="preserve"> was approved to iss</w:t>
      </w:r>
      <w:r w:rsidR="00301AB6">
        <w:rPr>
          <w:rFonts w:ascii="Times New Roman" w:eastAsia="TimesNewRomanPSMT" w:hAnsi="Times New Roman" w:cs="Times New Roman"/>
          <w:sz w:val="24"/>
          <w:szCs w:val="24"/>
          <w:lang w:val="en-GB"/>
        </w:rPr>
        <w:t>ue</w:t>
      </w:r>
      <w:r w:rsidRPr="00A9143B">
        <w:rPr>
          <w:rFonts w:ascii="Times New Roman" w:eastAsia="TimesNewRomanPSMT" w:hAnsi="Times New Roman" w:cs="Times New Roman"/>
          <w:sz w:val="24"/>
          <w:szCs w:val="24"/>
          <w:lang w:val="en-GB"/>
        </w:rPr>
        <w:t xml:space="preserve"> super-short-term bonds</w:t>
      </w:r>
      <w:r w:rsidR="00AF75E6">
        <w:rPr>
          <w:rFonts w:ascii="Times New Roman" w:eastAsia="TimesNewRomanPSMT" w:hAnsi="Times New Roman" w:cs="Times New Roman" w:hint="eastAsia"/>
          <w:sz w:val="24"/>
          <w:szCs w:val="24"/>
          <w:lang w:val="en-GB" w:eastAsia="zh-CN"/>
        </w:rPr>
        <w:t>,</w:t>
      </w:r>
      <w:r w:rsidRPr="00A9143B">
        <w:rPr>
          <w:rFonts w:ascii="Times New Roman" w:eastAsia="TimesNewRomanPSMT" w:hAnsi="Times New Roman" w:cs="Times New Roman"/>
          <w:sz w:val="24"/>
          <w:szCs w:val="24"/>
          <w:lang w:val="en-GB"/>
        </w:rPr>
        <w:t xml:space="preserve"> </w:t>
      </w:r>
      <w:r w:rsidR="00A61B74">
        <w:rPr>
          <w:rFonts w:ascii="Times New Roman" w:eastAsia="TimesNewRomanPSMT" w:hAnsi="Times New Roman" w:cs="Times New Roman"/>
          <w:sz w:val="24"/>
          <w:szCs w:val="24"/>
          <w:lang w:val="en-GB"/>
        </w:rPr>
        <w:t>short-term</w:t>
      </w:r>
      <w:r w:rsidR="00A61B74">
        <w:rPr>
          <w:rFonts w:ascii="Times New Roman" w:eastAsia="TimesNewRomanPSMT" w:hAnsi="Times New Roman" w:cs="Times New Roman" w:hint="eastAsia"/>
          <w:sz w:val="24"/>
          <w:szCs w:val="24"/>
          <w:lang w:val="en-GB" w:eastAsia="zh-CN"/>
        </w:rPr>
        <w:t xml:space="preserve"> </w:t>
      </w:r>
      <w:r w:rsidR="00A61B74" w:rsidRPr="00A61B74">
        <w:rPr>
          <w:rFonts w:ascii="Times New Roman" w:eastAsia="TimesNewRomanPSMT" w:hAnsi="Times New Roman" w:cs="Times New Roman"/>
          <w:sz w:val="24"/>
          <w:szCs w:val="24"/>
          <w:lang w:val="en-GB"/>
        </w:rPr>
        <w:t>bonds, medium-term notes and perpetual bonds in multiple tranches</w:t>
      </w:r>
      <w:r w:rsidR="00A61B74">
        <w:rPr>
          <w:rFonts w:ascii="Times New Roman" w:eastAsia="TimesNewRomanPSMT" w:hAnsi="Times New Roman" w:cs="Times New Roman" w:hint="eastAsia"/>
          <w:sz w:val="24"/>
          <w:szCs w:val="24"/>
          <w:lang w:val="en-GB" w:eastAsia="zh-CN"/>
        </w:rPr>
        <w:t xml:space="preserve"> </w:t>
      </w:r>
      <w:r w:rsidR="00301AB6">
        <w:rPr>
          <w:rFonts w:ascii="Times New Roman" w:eastAsia="TimesNewRomanPSMT" w:hAnsi="Times New Roman" w:cs="Times New Roman"/>
          <w:sz w:val="24"/>
          <w:szCs w:val="24"/>
          <w:lang w:val="en-GB" w:eastAsia="zh-CN"/>
        </w:rPr>
        <w:t xml:space="preserve">during the validity term </w:t>
      </w:r>
      <w:r w:rsidR="00301AB6" w:rsidRPr="00A9143B">
        <w:rPr>
          <w:rFonts w:ascii="Times New Roman" w:eastAsia="TimesNewRomanPSMT" w:hAnsi="Times New Roman" w:cs="Times New Roman"/>
          <w:sz w:val="24"/>
          <w:szCs w:val="24"/>
          <w:lang w:val="en-GB"/>
        </w:rPr>
        <w:t>of 2 years</w:t>
      </w:r>
      <w:r w:rsidR="00301AB6">
        <w:rPr>
          <w:rFonts w:ascii="Times New Roman" w:eastAsia="TimesNewRomanPSMT" w:hAnsi="Times New Roman" w:cs="Times New Roman"/>
          <w:sz w:val="24"/>
          <w:szCs w:val="24"/>
          <w:lang w:val="en-GB" w:eastAsia="zh-CN"/>
        </w:rPr>
        <w:t xml:space="preserve"> pursuant to </w:t>
      </w:r>
      <w:r w:rsidR="00A61B74">
        <w:rPr>
          <w:rFonts w:ascii="Times New Roman" w:eastAsia="TimesNewRomanPSMT" w:hAnsi="Times New Roman" w:cs="Times New Roman" w:hint="eastAsia"/>
          <w:sz w:val="24"/>
          <w:szCs w:val="24"/>
          <w:lang w:val="en-GB" w:eastAsia="zh-CN"/>
        </w:rPr>
        <w:t xml:space="preserve">the </w:t>
      </w:r>
      <w:r w:rsidR="00C63A01">
        <w:rPr>
          <w:rFonts w:ascii="Times New Roman" w:eastAsia="TimesNewRomanPSMT" w:hAnsi="Times New Roman" w:cs="Times New Roman"/>
          <w:sz w:val="24"/>
          <w:szCs w:val="24"/>
          <w:lang w:val="en-GB" w:eastAsia="zh-CN"/>
        </w:rPr>
        <w:t>notice</w:t>
      </w:r>
      <w:r w:rsidR="00C63A01">
        <w:rPr>
          <w:rFonts w:ascii="Times New Roman" w:eastAsia="TimesNewRomanPSMT" w:hAnsi="Times New Roman" w:cs="Times New Roman" w:hint="eastAsia"/>
          <w:sz w:val="24"/>
          <w:szCs w:val="24"/>
          <w:lang w:val="en-GB" w:eastAsia="zh-CN"/>
        </w:rPr>
        <w:t xml:space="preserve"> </w:t>
      </w:r>
      <w:r w:rsidR="00C63A01">
        <w:rPr>
          <w:rFonts w:ascii="Times New Roman" w:eastAsia="PMingLiU" w:hAnsi="Times New Roman" w:cs="Times New Roman" w:hint="eastAsia"/>
          <w:sz w:val="24"/>
          <w:szCs w:val="24"/>
          <w:lang w:val="en-GB" w:eastAsia="zh-TW"/>
        </w:rPr>
        <w:t xml:space="preserve">of </w:t>
      </w:r>
      <w:r w:rsidR="00301AB6">
        <w:rPr>
          <w:rFonts w:ascii="Times New Roman" w:eastAsia="TimesNewRomanPSMT" w:hAnsi="Times New Roman" w:cs="Times New Roman"/>
          <w:sz w:val="24"/>
          <w:szCs w:val="24"/>
          <w:lang w:val="en-GB" w:eastAsia="zh-CN"/>
        </w:rPr>
        <w:t xml:space="preserve">acceptance of </w:t>
      </w:r>
      <w:r w:rsidR="00A61B74">
        <w:rPr>
          <w:rFonts w:ascii="Times New Roman" w:eastAsia="TimesNewRomanPSMT" w:hAnsi="Times New Roman" w:cs="Times New Roman"/>
          <w:sz w:val="24"/>
          <w:szCs w:val="24"/>
          <w:lang w:val="en-GB" w:eastAsia="zh-CN"/>
        </w:rPr>
        <w:t xml:space="preserve">registration </w:t>
      </w:r>
      <w:r w:rsidR="00A61B74" w:rsidRPr="00A61B74">
        <w:rPr>
          <w:rFonts w:ascii="Times New Roman" w:eastAsia="TimesNewRomanPSMT" w:hAnsi="Times New Roman" w:cs="Times New Roman"/>
          <w:sz w:val="24"/>
          <w:szCs w:val="24"/>
          <w:lang w:val="en-GB" w:eastAsia="zh-CN"/>
        </w:rPr>
        <w:t xml:space="preserve">(Zhongshixiezhu[2017]DFINo.4) </w:t>
      </w:r>
      <w:r w:rsidR="00301AB6">
        <w:rPr>
          <w:rFonts w:ascii="Times New Roman" w:eastAsia="TimesNewRomanPSMT" w:hAnsi="Times New Roman" w:cs="Times New Roman"/>
          <w:sz w:val="24"/>
          <w:szCs w:val="24"/>
          <w:lang w:val="en-GB" w:eastAsia="zh-CN"/>
        </w:rPr>
        <w:t xml:space="preserve">issued by the </w:t>
      </w:r>
      <w:r w:rsidR="00A61B74" w:rsidRPr="00A61B74">
        <w:rPr>
          <w:rFonts w:ascii="Times New Roman" w:eastAsia="TimesNewRomanPSMT" w:hAnsi="Times New Roman" w:cs="Times New Roman"/>
          <w:sz w:val="24"/>
          <w:szCs w:val="24"/>
          <w:lang w:val="en-GB" w:eastAsia="zh-CN"/>
        </w:rPr>
        <w:t>Na</w:t>
      </w:r>
      <w:r w:rsidR="00A61B74">
        <w:rPr>
          <w:rFonts w:ascii="Times New Roman" w:eastAsia="TimesNewRomanPSMT" w:hAnsi="Times New Roman" w:cs="Times New Roman"/>
          <w:sz w:val="24"/>
          <w:szCs w:val="24"/>
          <w:lang w:val="en-GB" w:eastAsia="zh-CN"/>
        </w:rPr>
        <w:t>tional Association of Financial</w:t>
      </w:r>
      <w:r w:rsidR="00A61B74">
        <w:rPr>
          <w:rFonts w:ascii="Times New Roman" w:eastAsia="TimesNewRomanPSMT" w:hAnsi="Times New Roman" w:cs="Times New Roman" w:hint="eastAsia"/>
          <w:sz w:val="24"/>
          <w:szCs w:val="24"/>
          <w:lang w:val="en-GB" w:eastAsia="zh-CN"/>
        </w:rPr>
        <w:t xml:space="preserve"> </w:t>
      </w:r>
      <w:r w:rsidR="00A61B74" w:rsidRPr="00A61B74">
        <w:rPr>
          <w:rFonts w:ascii="Times New Roman" w:eastAsia="TimesNewRomanPSMT" w:hAnsi="Times New Roman" w:cs="Times New Roman"/>
          <w:sz w:val="24"/>
          <w:szCs w:val="24"/>
          <w:lang w:val="en-GB" w:eastAsia="zh-CN"/>
        </w:rPr>
        <w:t>Market Institutional Investors</w:t>
      </w:r>
      <w:r w:rsidR="00301AB6">
        <w:rPr>
          <w:rFonts w:ascii="Times New Roman" w:eastAsia="TimesNewRomanPSMT" w:hAnsi="Times New Roman" w:cs="Times New Roman"/>
          <w:sz w:val="24"/>
          <w:szCs w:val="24"/>
          <w:lang w:val="en-GB" w:eastAsia="zh-CN"/>
        </w:rPr>
        <w:t>. For more d</w:t>
      </w:r>
      <w:r w:rsidRPr="00A9143B">
        <w:rPr>
          <w:rFonts w:ascii="Times New Roman" w:eastAsia="TimesNewRomanPSMT" w:hAnsi="Times New Roman" w:cs="Times New Roman"/>
          <w:sz w:val="24"/>
          <w:szCs w:val="24"/>
          <w:lang w:val="en-GB"/>
        </w:rPr>
        <w:t>etails</w:t>
      </w:r>
      <w:r w:rsidR="00301AB6">
        <w:rPr>
          <w:rFonts w:ascii="Times New Roman" w:eastAsia="TimesNewRomanPSMT" w:hAnsi="Times New Roman" w:cs="Times New Roman"/>
          <w:sz w:val="24"/>
          <w:szCs w:val="24"/>
          <w:lang w:val="en-GB"/>
        </w:rPr>
        <w:t xml:space="preserve">, please refer to </w:t>
      </w:r>
      <w:r w:rsidRPr="00A9143B">
        <w:rPr>
          <w:rFonts w:ascii="Times New Roman" w:eastAsia="TimesNewRomanPSMT" w:hAnsi="Times New Roman" w:cs="Times New Roman"/>
          <w:sz w:val="24"/>
          <w:szCs w:val="24"/>
          <w:lang w:val="en-GB"/>
        </w:rPr>
        <w:t xml:space="preserve">the announcement </w:t>
      </w:r>
      <w:r w:rsidR="00D8526D">
        <w:rPr>
          <w:rFonts w:ascii="Times New Roman" w:eastAsia="TimesNewRomanPSMT" w:hAnsi="Times New Roman" w:cs="Times New Roman"/>
          <w:sz w:val="24"/>
          <w:szCs w:val="24"/>
          <w:lang w:val="en-GB"/>
        </w:rPr>
        <w:t xml:space="preserve">of </w:t>
      </w:r>
      <w:r w:rsidR="00D8526D">
        <w:rPr>
          <w:rFonts w:ascii="Times New Roman" w:eastAsia="TimesNewRomanPSMT" w:hAnsi="Times New Roman" w:cs="Times New Roman" w:hint="eastAsia"/>
          <w:sz w:val="24"/>
          <w:szCs w:val="24"/>
          <w:lang w:val="en-GB" w:eastAsia="zh-CN"/>
        </w:rPr>
        <w:t xml:space="preserve">the Company </w:t>
      </w:r>
      <w:r w:rsidR="00301AB6" w:rsidRPr="00A9143B">
        <w:rPr>
          <w:rFonts w:ascii="Times New Roman" w:eastAsia="TimesNewRomanPSMT" w:hAnsi="Times New Roman" w:cs="Times New Roman"/>
          <w:sz w:val="24"/>
          <w:szCs w:val="24"/>
          <w:lang w:val="en-GB"/>
        </w:rPr>
        <w:t>dated</w:t>
      </w:r>
      <w:r w:rsidR="00301AB6">
        <w:rPr>
          <w:rFonts w:ascii="Times New Roman" w:eastAsia="TimesNewRomanPSMT" w:hAnsi="Times New Roman" w:cs="Times New Roman" w:hint="eastAsia"/>
          <w:sz w:val="24"/>
          <w:szCs w:val="24"/>
          <w:lang w:val="en-GB" w:eastAsia="zh-CN"/>
        </w:rPr>
        <w:t xml:space="preserve"> 29 March 2017</w:t>
      </w:r>
      <w:r w:rsidR="00301AB6" w:rsidRPr="00301AB6">
        <w:rPr>
          <w:rFonts w:ascii="Times New Roman" w:eastAsia="TimesNewRomanPSMT" w:hAnsi="Times New Roman" w:cs="Times New Roman"/>
          <w:sz w:val="24"/>
          <w:szCs w:val="24"/>
          <w:lang w:val="en-GB"/>
        </w:rPr>
        <w:t xml:space="preserve"> </w:t>
      </w:r>
      <w:r w:rsidR="00301AB6">
        <w:rPr>
          <w:rFonts w:ascii="Times New Roman" w:eastAsia="TimesNewRomanPSMT" w:hAnsi="Times New Roman" w:cs="Times New Roman"/>
          <w:sz w:val="24"/>
          <w:szCs w:val="24"/>
          <w:lang w:val="en-GB"/>
        </w:rPr>
        <w:t>regarding</w:t>
      </w:r>
      <w:r w:rsidR="00301AB6" w:rsidRPr="00A9143B">
        <w:rPr>
          <w:rFonts w:ascii="Times New Roman" w:eastAsia="TimesNewRomanPSMT" w:hAnsi="Times New Roman" w:cs="Times New Roman"/>
          <w:sz w:val="24"/>
          <w:szCs w:val="24"/>
          <w:lang w:val="en-GB"/>
        </w:rPr>
        <w:t xml:space="preserve"> </w:t>
      </w:r>
      <w:r w:rsidRPr="00A9143B">
        <w:rPr>
          <w:rFonts w:ascii="Times New Roman" w:eastAsia="TimesNewRomanPSMT" w:hAnsi="Times New Roman" w:cs="Times New Roman"/>
          <w:sz w:val="24"/>
          <w:szCs w:val="24"/>
          <w:lang w:val="en-GB"/>
        </w:rPr>
        <w:t xml:space="preserve">the approval of registration of the issuance of </w:t>
      </w:r>
      <w:r w:rsidR="0041606D">
        <w:rPr>
          <w:rFonts w:ascii="Times New Roman" w:eastAsia="TimesNewRomanPSMT" w:hAnsi="Times New Roman" w:cs="Times New Roman" w:hint="eastAsia"/>
          <w:sz w:val="24"/>
          <w:szCs w:val="24"/>
          <w:lang w:val="en-GB" w:eastAsia="zh-CN"/>
        </w:rPr>
        <w:t>financing instruments</w:t>
      </w:r>
      <w:r w:rsidRPr="00A9143B">
        <w:rPr>
          <w:rFonts w:ascii="Times New Roman" w:eastAsia="TimesNewRomanPSMT" w:hAnsi="Times New Roman" w:cs="Times New Roman"/>
          <w:sz w:val="24"/>
          <w:szCs w:val="24"/>
          <w:lang w:val="en-GB"/>
        </w:rPr>
        <w:t>.</w:t>
      </w:r>
    </w:p>
    <w:p w:rsidR="00A761C7" w:rsidRPr="00A9143B" w:rsidRDefault="001516C4" w:rsidP="00A761C7">
      <w:pPr>
        <w:autoSpaceDE w:val="0"/>
        <w:autoSpaceDN w:val="0"/>
        <w:adjustRightInd w:val="0"/>
        <w:jc w:val="both"/>
        <w:rPr>
          <w:rFonts w:ascii="Times New Roman" w:eastAsia="TimesNewRomanPSMT" w:hAnsi="Times New Roman" w:cs="Times New Roman"/>
          <w:sz w:val="24"/>
          <w:szCs w:val="24"/>
          <w:lang w:val="en-GB" w:eastAsia="zh-CN"/>
        </w:rPr>
      </w:pPr>
      <w:r>
        <w:rPr>
          <w:rFonts w:ascii="Times New Roman" w:eastAsia="TimesNewRomanPSMT" w:hAnsi="Times New Roman" w:cs="Times New Roman"/>
          <w:sz w:val="24"/>
          <w:szCs w:val="24"/>
          <w:lang w:val="en-GB"/>
        </w:rPr>
        <w:t xml:space="preserve">On </w:t>
      </w:r>
      <w:r w:rsidR="007B4F58">
        <w:rPr>
          <w:rFonts w:ascii="Times New Roman" w:eastAsia="PMingLiU" w:hAnsi="Times New Roman" w:cs="Times New Roman"/>
          <w:sz w:val="24"/>
          <w:szCs w:val="24"/>
          <w:lang w:val="en-GB" w:eastAsia="zh-TW"/>
        </w:rPr>
        <w:t>8</w:t>
      </w:r>
      <w:r w:rsidR="005B628A">
        <w:rPr>
          <w:rFonts w:ascii="Times New Roman" w:eastAsia="PMingLiU" w:hAnsi="Times New Roman" w:cs="Times New Roman" w:hint="eastAsia"/>
          <w:sz w:val="24"/>
          <w:szCs w:val="24"/>
          <w:lang w:val="en-GB" w:eastAsia="zh-TW"/>
        </w:rPr>
        <w:t xml:space="preserve"> </w:t>
      </w:r>
      <w:r w:rsidR="00716C2E" w:rsidRPr="00843364">
        <w:rPr>
          <w:rFonts w:ascii="Times New Roman" w:eastAsia="TimesNewRomanPSMT" w:hAnsi="Times New Roman" w:cs="Times New Roman" w:hint="eastAsia"/>
          <w:sz w:val="24"/>
          <w:szCs w:val="24"/>
          <w:lang w:val="en-GB"/>
        </w:rPr>
        <w:t>August</w:t>
      </w:r>
      <w:r w:rsidR="00716C2E" w:rsidRPr="00716C2E">
        <w:rPr>
          <w:rFonts w:ascii="Times New Roman" w:eastAsia="TimesNewRomanPSMT" w:hAnsi="Times New Roman" w:cs="Times New Roman" w:hint="eastAsia"/>
          <w:sz w:val="24"/>
          <w:szCs w:val="24"/>
          <w:lang w:val="en-GB"/>
        </w:rPr>
        <w:t xml:space="preserve"> </w:t>
      </w:r>
      <w:r w:rsidR="0020111C">
        <w:rPr>
          <w:rFonts w:ascii="Times New Roman" w:eastAsia="TimesNewRomanPSMT" w:hAnsi="Times New Roman" w:cs="Times New Roman" w:hint="eastAsia"/>
          <w:sz w:val="24"/>
          <w:szCs w:val="24"/>
          <w:lang w:val="en-GB" w:eastAsia="zh-CN"/>
        </w:rPr>
        <w:t>2017</w:t>
      </w:r>
      <w:r w:rsidR="00A761C7" w:rsidRPr="00A9143B">
        <w:rPr>
          <w:rFonts w:ascii="Times New Roman" w:eastAsia="TimesNewRomanPSMT" w:hAnsi="Times New Roman" w:cs="Times New Roman"/>
          <w:sz w:val="24"/>
          <w:szCs w:val="24"/>
          <w:lang w:val="en-GB"/>
        </w:rPr>
        <w:t xml:space="preserve">, the Company </w:t>
      </w:r>
      <w:r>
        <w:rPr>
          <w:rFonts w:ascii="Times New Roman" w:eastAsia="TimesNewRomanPSMT" w:hAnsi="Times New Roman" w:cs="Times New Roman"/>
          <w:sz w:val="24"/>
          <w:szCs w:val="24"/>
          <w:lang w:val="en-GB"/>
        </w:rPr>
        <w:t>successfully issued the 201</w:t>
      </w:r>
      <w:r w:rsidR="00245F08">
        <w:rPr>
          <w:rFonts w:ascii="Times New Roman" w:eastAsia="TimesNewRomanPSMT" w:hAnsi="Times New Roman" w:cs="Times New Roman" w:hint="eastAsia"/>
          <w:sz w:val="24"/>
          <w:szCs w:val="24"/>
          <w:lang w:val="en-GB" w:eastAsia="zh-CN"/>
        </w:rPr>
        <w:t>7</w:t>
      </w:r>
      <w:r>
        <w:rPr>
          <w:rFonts w:ascii="Times New Roman" w:eastAsia="TimesNewRomanPSMT" w:hAnsi="Times New Roman" w:cs="Times New Roman"/>
          <w:sz w:val="24"/>
          <w:szCs w:val="24"/>
          <w:lang w:val="en-GB"/>
        </w:rPr>
        <w:t xml:space="preserve"> </w:t>
      </w:r>
      <w:r w:rsidR="00716C2E">
        <w:rPr>
          <w:rFonts w:ascii="Times New Roman" w:hAnsi="Times New Roman" w:cs="Times New Roman" w:hint="eastAsia"/>
          <w:sz w:val="24"/>
          <w:szCs w:val="24"/>
          <w:lang w:val="en-GB" w:eastAsia="zh-CN"/>
        </w:rPr>
        <w:t>seventh</w:t>
      </w:r>
      <w:r w:rsidR="00716C2E">
        <w:rPr>
          <w:rFonts w:ascii="Times New Roman" w:eastAsia="TimesNewRomanPSMT" w:hAnsi="Times New Roman" w:cs="Times New Roman"/>
          <w:sz w:val="24"/>
          <w:szCs w:val="24"/>
          <w:lang w:val="en-GB"/>
        </w:rPr>
        <w:t xml:space="preserve"> </w:t>
      </w:r>
      <w:r w:rsidR="00A761C7" w:rsidRPr="00A9143B">
        <w:rPr>
          <w:rFonts w:ascii="Times New Roman" w:eastAsia="TimesNewRomanPSMT" w:hAnsi="Times New Roman" w:cs="Times New Roman"/>
          <w:sz w:val="24"/>
          <w:szCs w:val="24"/>
          <w:lang w:val="en-GB"/>
        </w:rPr>
        <w:t xml:space="preserve">tranche of super-short-term bonds (the </w:t>
      </w:r>
      <w:r w:rsidR="00C63A01">
        <w:rPr>
          <w:rFonts w:ascii="Times New Roman" w:eastAsia="PMingLiU" w:hAnsi="Times New Roman" w:cs="Times New Roman"/>
          <w:sz w:val="24"/>
          <w:szCs w:val="24"/>
          <w:lang w:val="en-GB" w:eastAsia="zh-TW"/>
        </w:rPr>
        <w:t>“</w:t>
      </w:r>
      <w:r w:rsidR="00A761C7" w:rsidRPr="00A9143B">
        <w:rPr>
          <w:rFonts w:ascii="Times New Roman" w:eastAsia="TimesNewRomanPS-BoldMT" w:hAnsi="Times New Roman" w:cs="Times New Roman"/>
          <w:b/>
          <w:bCs/>
          <w:sz w:val="24"/>
          <w:szCs w:val="24"/>
          <w:lang w:val="en-GB"/>
        </w:rPr>
        <w:t>Issuance</w:t>
      </w:r>
      <w:r w:rsidR="00C63A01">
        <w:rPr>
          <w:rFonts w:ascii="Times New Roman" w:eastAsia="PMingLiU" w:hAnsi="Times New Roman" w:cs="Times New Roman"/>
          <w:sz w:val="24"/>
          <w:szCs w:val="24"/>
          <w:lang w:val="en-GB" w:eastAsia="zh-TW"/>
        </w:rPr>
        <w:t>”</w:t>
      </w:r>
      <w:r w:rsidR="00A761C7" w:rsidRPr="00A9143B">
        <w:rPr>
          <w:rFonts w:ascii="Times New Roman" w:eastAsia="TimesNewRomanPSMT" w:hAnsi="Times New Roman" w:cs="Times New Roman"/>
          <w:sz w:val="24"/>
          <w:szCs w:val="24"/>
          <w:lang w:val="en-GB"/>
        </w:rPr>
        <w:t>). Th</w:t>
      </w:r>
      <w:r w:rsidR="00722573">
        <w:rPr>
          <w:rFonts w:ascii="Times New Roman" w:eastAsia="TimesNewRomanPSMT" w:hAnsi="Times New Roman" w:cs="Times New Roman"/>
          <w:sz w:val="24"/>
          <w:szCs w:val="24"/>
          <w:lang w:val="en-GB"/>
        </w:rPr>
        <w:t>e amount of the Issuance is RMB</w:t>
      </w:r>
      <w:r w:rsidR="008937A3">
        <w:rPr>
          <w:rFonts w:ascii="Times New Roman" w:eastAsia="TimesNewRomanPSMT" w:hAnsi="Times New Roman" w:cs="Times New Roman"/>
          <w:sz w:val="24"/>
          <w:szCs w:val="24"/>
          <w:lang w:val="en-GB" w:eastAsia="zh-CN"/>
        </w:rPr>
        <w:t>1.5</w:t>
      </w:r>
      <w:r w:rsidR="00E6173D">
        <w:rPr>
          <w:rFonts w:ascii="Times New Roman" w:eastAsia="TimesNewRomanPSMT" w:hAnsi="Times New Roman" w:cs="Times New Roman"/>
          <w:sz w:val="24"/>
          <w:szCs w:val="24"/>
          <w:lang w:val="en-GB" w:eastAsia="zh-CN"/>
        </w:rPr>
        <w:t xml:space="preserve"> </w:t>
      </w:r>
      <w:r w:rsidR="00A761C7" w:rsidRPr="00A9143B">
        <w:rPr>
          <w:rFonts w:ascii="Times New Roman" w:eastAsia="TimesNewRomanPSMT" w:hAnsi="Times New Roman" w:cs="Times New Roman"/>
          <w:sz w:val="24"/>
          <w:szCs w:val="24"/>
          <w:lang w:val="en-GB"/>
        </w:rPr>
        <w:t xml:space="preserve">billion and the Company has received such amount by </w:t>
      </w:r>
      <w:r w:rsidR="00716C2E" w:rsidRPr="00843364">
        <w:rPr>
          <w:rFonts w:ascii="Times New Roman" w:eastAsia="TimesNewRomanPSMT" w:hAnsi="Times New Roman" w:cs="Times New Roman" w:hint="eastAsia"/>
          <w:sz w:val="24"/>
          <w:szCs w:val="24"/>
          <w:lang w:val="en-GB" w:eastAsia="zh-CN"/>
        </w:rPr>
        <w:t>9</w:t>
      </w:r>
      <w:r w:rsidR="005B628A">
        <w:rPr>
          <w:rFonts w:ascii="Times New Roman" w:eastAsia="PMingLiU" w:hAnsi="Times New Roman" w:cs="Times New Roman" w:hint="eastAsia"/>
          <w:sz w:val="24"/>
          <w:szCs w:val="24"/>
          <w:lang w:val="en-GB" w:eastAsia="zh-TW"/>
        </w:rPr>
        <w:t xml:space="preserve"> </w:t>
      </w:r>
      <w:r w:rsidR="00716C2E" w:rsidRPr="00843364">
        <w:rPr>
          <w:rFonts w:ascii="Times New Roman" w:eastAsia="TimesNewRomanPSMT" w:hAnsi="Times New Roman" w:cs="Times New Roman" w:hint="eastAsia"/>
          <w:sz w:val="24"/>
          <w:szCs w:val="24"/>
          <w:lang w:val="en-GB"/>
        </w:rPr>
        <w:t>August</w:t>
      </w:r>
      <w:r w:rsidR="00245F08">
        <w:rPr>
          <w:rFonts w:ascii="Times New Roman" w:eastAsia="TimesNewRomanPSMT" w:hAnsi="Times New Roman" w:cs="Times New Roman" w:hint="eastAsia"/>
          <w:sz w:val="24"/>
          <w:szCs w:val="24"/>
          <w:lang w:val="en-GB" w:eastAsia="zh-CN"/>
        </w:rPr>
        <w:t xml:space="preserve"> 2017</w:t>
      </w:r>
      <w:r w:rsidR="00A761C7" w:rsidRPr="00A9143B">
        <w:rPr>
          <w:rFonts w:ascii="Times New Roman" w:eastAsia="TimesNewRomanPSMT" w:hAnsi="Times New Roman" w:cs="Times New Roman"/>
          <w:sz w:val="24"/>
          <w:szCs w:val="24"/>
          <w:lang w:val="en-GB"/>
        </w:rPr>
        <w:t>.</w:t>
      </w:r>
    </w:p>
    <w:p w:rsidR="00A761C7" w:rsidRPr="00A9143B" w:rsidRDefault="00A761C7" w:rsidP="00A761C7">
      <w:pPr>
        <w:autoSpaceDE w:val="0"/>
        <w:autoSpaceDN w:val="0"/>
        <w:adjustRightInd w:val="0"/>
        <w:jc w:val="both"/>
        <w:rPr>
          <w:rFonts w:ascii="Times New Roman" w:eastAsia="TimesNewRomanPSMT" w:hAnsi="Times New Roman" w:cs="Times New Roman"/>
          <w:sz w:val="24"/>
          <w:szCs w:val="24"/>
          <w:lang w:val="en-GB" w:eastAsia="zh-CN"/>
        </w:rPr>
      </w:pPr>
      <w:r w:rsidRPr="00A9143B">
        <w:rPr>
          <w:rFonts w:ascii="Times New Roman" w:eastAsia="TimesNewRomanPSMT" w:hAnsi="Times New Roman" w:cs="Times New Roman"/>
          <w:sz w:val="24"/>
          <w:szCs w:val="24"/>
          <w:lang w:val="en-GB"/>
        </w:rPr>
        <w:t>The details of the results of the Issuance are as follows:</w:t>
      </w:r>
    </w:p>
    <w:tbl>
      <w:tblPr>
        <w:tblStyle w:val="a7"/>
        <w:tblW w:w="0" w:type="auto"/>
        <w:jc w:val="center"/>
        <w:tblLook w:val="04A0"/>
      </w:tblPr>
      <w:tblGrid>
        <w:gridCol w:w="1526"/>
        <w:gridCol w:w="2551"/>
        <w:gridCol w:w="1577"/>
        <w:gridCol w:w="3265"/>
      </w:tblGrid>
      <w:tr w:rsidR="00A761C7" w:rsidRPr="00A9143B" w:rsidTr="007949D3">
        <w:trPr>
          <w:jc w:val="center"/>
        </w:trPr>
        <w:tc>
          <w:tcPr>
            <w:tcW w:w="8919" w:type="dxa"/>
            <w:gridSpan w:val="4"/>
            <w:shd w:val="clear" w:color="auto" w:fill="D9D9D9" w:themeFill="background1" w:themeFillShade="D9"/>
            <w:vAlign w:val="center"/>
          </w:tcPr>
          <w:p w:rsidR="00A761C7" w:rsidRPr="00A9143B" w:rsidRDefault="00A761C7" w:rsidP="007949D3">
            <w:pPr>
              <w:autoSpaceDE w:val="0"/>
              <w:autoSpaceDN w:val="0"/>
              <w:adjustRightInd w:val="0"/>
              <w:spacing w:line="360" w:lineRule="exact"/>
              <w:jc w:val="center"/>
              <w:rPr>
                <w:rFonts w:ascii="Times New Roman" w:hAnsi="Times New Roman" w:cs="Times New Roman"/>
                <w:sz w:val="24"/>
                <w:szCs w:val="24"/>
              </w:rPr>
            </w:pPr>
            <w:r w:rsidRPr="00A9143B">
              <w:rPr>
                <w:rFonts w:ascii="Times New Roman" w:eastAsia="TimesNewRomanPSMT" w:hAnsi="Times New Roman" w:cs="Times New Roman"/>
                <w:sz w:val="24"/>
                <w:szCs w:val="24"/>
                <w:lang w:val="en-GB"/>
              </w:rPr>
              <w:lastRenderedPageBreak/>
              <w:t>Key terms of the Issuance</w:t>
            </w:r>
          </w:p>
        </w:tc>
      </w:tr>
      <w:tr w:rsidR="00A761C7" w:rsidRPr="00A9143B" w:rsidTr="007949D3">
        <w:trPr>
          <w:jc w:val="center"/>
        </w:trPr>
        <w:tc>
          <w:tcPr>
            <w:tcW w:w="1526" w:type="dxa"/>
            <w:vAlign w:val="center"/>
          </w:tcPr>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Name</w:t>
            </w:r>
          </w:p>
        </w:tc>
        <w:tc>
          <w:tcPr>
            <w:tcW w:w="2551" w:type="dxa"/>
            <w:vAlign w:val="center"/>
          </w:tcPr>
          <w:p w:rsidR="00055D75" w:rsidRDefault="00A761C7" w:rsidP="007949D3">
            <w:pPr>
              <w:autoSpaceDE w:val="0"/>
              <w:autoSpaceDN w:val="0"/>
              <w:adjustRightInd w:val="0"/>
              <w:spacing w:line="360" w:lineRule="exact"/>
              <w:jc w:val="center"/>
              <w:rPr>
                <w:rFonts w:ascii="Times New Roman" w:eastAsia="TimesNewRomanPSMT" w:hAnsi="Times New Roman" w:cs="Times New Roman"/>
                <w:sz w:val="24"/>
                <w:szCs w:val="24"/>
                <w:lang w:val="en-GB" w:eastAsia="zh-CN"/>
              </w:rPr>
            </w:pPr>
            <w:r w:rsidRPr="00A9143B">
              <w:rPr>
                <w:rFonts w:ascii="Times New Roman" w:eastAsia="TimesNewRomanPSMT" w:hAnsi="Times New Roman" w:cs="Times New Roman"/>
                <w:sz w:val="24"/>
                <w:szCs w:val="24"/>
                <w:lang w:val="en-GB"/>
              </w:rPr>
              <w:t>201</w:t>
            </w:r>
            <w:r w:rsidR="00245F08">
              <w:rPr>
                <w:rFonts w:ascii="Times New Roman" w:eastAsia="TimesNewRomanPSMT" w:hAnsi="Times New Roman" w:cs="Times New Roman" w:hint="eastAsia"/>
                <w:sz w:val="24"/>
                <w:szCs w:val="24"/>
                <w:lang w:val="en-GB" w:eastAsia="zh-CN"/>
              </w:rPr>
              <w:t>7</w:t>
            </w:r>
            <w:r w:rsidRPr="00A9143B">
              <w:rPr>
                <w:rFonts w:ascii="Times New Roman" w:eastAsia="TimesNewRomanPSMT" w:hAnsi="Times New Roman" w:cs="Times New Roman"/>
                <w:sz w:val="24"/>
                <w:szCs w:val="24"/>
                <w:lang w:val="en-GB"/>
              </w:rPr>
              <w:t xml:space="preserve"> </w:t>
            </w:r>
            <w:r w:rsidR="00716C2E">
              <w:rPr>
                <w:rFonts w:ascii="Times New Roman" w:hAnsi="Times New Roman" w:cs="Times New Roman" w:hint="eastAsia"/>
                <w:sz w:val="24"/>
                <w:szCs w:val="24"/>
                <w:lang w:val="en-GB" w:eastAsia="zh-CN"/>
              </w:rPr>
              <w:t>seventh</w:t>
            </w:r>
            <w:r w:rsidR="00716C2E" w:rsidRPr="00A9143B">
              <w:rPr>
                <w:rFonts w:ascii="Times New Roman" w:eastAsia="TimesNewRomanPSMT" w:hAnsi="Times New Roman" w:cs="Times New Roman"/>
                <w:sz w:val="24"/>
                <w:szCs w:val="24"/>
                <w:lang w:val="en-GB"/>
              </w:rPr>
              <w:t xml:space="preserve"> </w:t>
            </w:r>
            <w:r w:rsidRPr="00A9143B">
              <w:rPr>
                <w:rFonts w:ascii="Times New Roman" w:eastAsia="TimesNewRomanPSMT" w:hAnsi="Times New Roman" w:cs="Times New Roman" w:hint="eastAsia"/>
                <w:sz w:val="24"/>
                <w:szCs w:val="24"/>
                <w:lang w:val="en-GB"/>
              </w:rPr>
              <w:t>t</w:t>
            </w:r>
            <w:r w:rsidRPr="00A9143B">
              <w:rPr>
                <w:rFonts w:ascii="Times New Roman" w:eastAsia="TimesNewRomanPSMT" w:hAnsi="Times New Roman" w:cs="Times New Roman"/>
                <w:sz w:val="24"/>
                <w:szCs w:val="24"/>
                <w:lang w:val="en-GB"/>
              </w:rPr>
              <w:t>ranche of</w:t>
            </w:r>
          </w:p>
          <w:p w:rsidR="00055D75" w:rsidRDefault="00A761C7" w:rsidP="007949D3">
            <w:pPr>
              <w:autoSpaceDE w:val="0"/>
              <w:autoSpaceDN w:val="0"/>
              <w:adjustRightInd w:val="0"/>
              <w:spacing w:line="360" w:lineRule="exact"/>
              <w:jc w:val="center"/>
              <w:rPr>
                <w:rFonts w:ascii="Times New Roman" w:eastAsia="TimesNewRomanPSMT" w:hAnsi="Times New Roman" w:cs="Times New Roman"/>
                <w:sz w:val="24"/>
                <w:szCs w:val="24"/>
                <w:lang w:val="en-GB" w:eastAsia="zh-CN"/>
              </w:rPr>
            </w:pPr>
            <w:r w:rsidRPr="00A9143B">
              <w:rPr>
                <w:rFonts w:ascii="Times New Roman" w:eastAsia="TimesNewRomanPSMT" w:hAnsi="Times New Roman" w:cs="Times New Roman"/>
                <w:sz w:val="24"/>
                <w:szCs w:val="24"/>
                <w:lang w:val="en-GB"/>
              </w:rPr>
              <w:t>super-short-term bonds</w:t>
            </w:r>
          </w:p>
          <w:p w:rsidR="00055D75" w:rsidRDefault="00A761C7" w:rsidP="007949D3">
            <w:pPr>
              <w:autoSpaceDE w:val="0"/>
              <w:autoSpaceDN w:val="0"/>
              <w:adjustRightInd w:val="0"/>
              <w:spacing w:line="360" w:lineRule="exact"/>
              <w:jc w:val="center"/>
              <w:rPr>
                <w:rFonts w:ascii="Times New Roman" w:eastAsia="TimesNewRomanPSMT" w:hAnsi="Times New Roman" w:cs="Times New Roman"/>
                <w:sz w:val="24"/>
                <w:szCs w:val="24"/>
                <w:lang w:val="en-GB" w:eastAsia="zh-CN"/>
              </w:rPr>
            </w:pPr>
            <w:r w:rsidRPr="00A9143B">
              <w:rPr>
                <w:rFonts w:ascii="Times New Roman" w:eastAsia="TimesNewRomanPSMT" w:hAnsi="Times New Roman" w:cs="Times New Roman"/>
                <w:sz w:val="24"/>
                <w:szCs w:val="24"/>
                <w:lang w:val="en-GB"/>
              </w:rPr>
              <w:t>of</w:t>
            </w:r>
            <w:r w:rsidR="009256B1">
              <w:rPr>
                <w:rFonts w:ascii="Times New Roman" w:eastAsia="TimesNewRomanPSMT" w:hAnsi="Times New Roman" w:cs="Times New Roman" w:hint="eastAsia"/>
                <w:sz w:val="24"/>
                <w:szCs w:val="24"/>
                <w:lang w:val="en-GB" w:eastAsia="zh-CN"/>
              </w:rPr>
              <w:t xml:space="preserve"> </w:t>
            </w:r>
            <w:r w:rsidRPr="00A9143B">
              <w:rPr>
                <w:rFonts w:ascii="Times New Roman" w:eastAsia="TimesNewRomanPSMT" w:hAnsi="Times New Roman" w:cs="Times New Roman"/>
                <w:sz w:val="24"/>
                <w:szCs w:val="24"/>
                <w:lang w:val="en-GB"/>
              </w:rPr>
              <w:t>Yanzhou Coal</w:t>
            </w:r>
          </w:p>
          <w:p w:rsidR="00055D75" w:rsidRDefault="00A761C7" w:rsidP="007949D3">
            <w:pPr>
              <w:autoSpaceDE w:val="0"/>
              <w:autoSpaceDN w:val="0"/>
              <w:adjustRightInd w:val="0"/>
              <w:spacing w:line="360" w:lineRule="exact"/>
              <w:jc w:val="center"/>
              <w:rPr>
                <w:rFonts w:ascii="Times New Roman" w:eastAsia="TimesNewRomanPSMT" w:hAnsi="Times New Roman" w:cs="Times New Roman"/>
                <w:sz w:val="24"/>
                <w:szCs w:val="24"/>
                <w:lang w:val="en-GB" w:eastAsia="zh-CN"/>
              </w:rPr>
            </w:pPr>
            <w:r w:rsidRPr="00A9143B">
              <w:rPr>
                <w:rFonts w:ascii="Times New Roman" w:eastAsia="TimesNewRomanPSMT" w:hAnsi="Times New Roman" w:cs="Times New Roman"/>
                <w:sz w:val="24"/>
                <w:szCs w:val="24"/>
                <w:lang w:val="en-GB"/>
              </w:rPr>
              <w:t>Mining</w:t>
            </w:r>
            <w:r w:rsidR="00055D75">
              <w:rPr>
                <w:rFonts w:ascii="Times New Roman" w:eastAsia="TimesNewRomanPSMT" w:hAnsi="Times New Roman" w:cs="Times New Roman" w:hint="eastAsia"/>
                <w:sz w:val="24"/>
                <w:szCs w:val="24"/>
                <w:lang w:val="en-GB" w:eastAsia="zh-CN"/>
              </w:rPr>
              <w:t xml:space="preserve"> </w:t>
            </w:r>
            <w:r w:rsidRPr="00A9143B">
              <w:rPr>
                <w:rFonts w:ascii="Times New Roman" w:eastAsia="TimesNewRomanPSMT" w:hAnsi="Times New Roman" w:cs="Times New Roman"/>
                <w:sz w:val="24"/>
                <w:szCs w:val="24"/>
                <w:lang w:val="en-GB"/>
              </w:rPr>
              <w:t>Company</w:t>
            </w:r>
          </w:p>
          <w:p w:rsidR="00A761C7" w:rsidRPr="00A9143B" w:rsidRDefault="00A761C7" w:rsidP="007949D3">
            <w:pPr>
              <w:autoSpaceDE w:val="0"/>
              <w:autoSpaceDN w:val="0"/>
              <w:adjustRightInd w:val="0"/>
              <w:spacing w:line="360" w:lineRule="exact"/>
              <w:jc w:val="center"/>
              <w:rPr>
                <w:rFonts w:ascii="Times New Roman" w:hAnsi="Times New Roman" w:cs="Times New Roman"/>
                <w:sz w:val="24"/>
                <w:szCs w:val="24"/>
              </w:rPr>
            </w:pPr>
            <w:r w:rsidRPr="00A9143B">
              <w:rPr>
                <w:rFonts w:ascii="Times New Roman" w:eastAsia="TimesNewRomanPSMT" w:hAnsi="Times New Roman" w:cs="Times New Roman"/>
                <w:sz w:val="24"/>
                <w:szCs w:val="24"/>
                <w:lang w:val="en-GB"/>
              </w:rPr>
              <w:t>Limited</w:t>
            </w:r>
          </w:p>
        </w:tc>
        <w:tc>
          <w:tcPr>
            <w:tcW w:w="1577" w:type="dxa"/>
            <w:vAlign w:val="center"/>
          </w:tcPr>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Abbreviation</w:t>
            </w:r>
          </w:p>
        </w:tc>
        <w:tc>
          <w:tcPr>
            <w:tcW w:w="3265" w:type="dxa"/>
            <w:vAlign w:val="center"/>
          </w:tcPr>
          <w:p w:rsidR="00A761C7" w:rsidRPr="003C2D0C" w:rsidRDefault="005B628A" w:rsidP="007949D3">
            <w:pPr>
              <w:autoSpaceDE w:val="0"/>
              <w:autoSpaceDN w:val="0"/>
              <w:adjustRightInd w:val="0"/>
              <w:spacing w:line="360" w:lineRule="exact"/>
              <w:jc w:val="center"/>
              <w:rPr>
                <w:rFonts w:ascii="Times New Roman" w:hAnsi="Times New Roman" w:cs="Times New Roman"/>
                <w:sz w:val="24"/>
                <w:szCs w:val="24"/>
                <w:lang w:eastAsia="zh-CN"/>
              </w:rPr>
            </w:pPr>
            <w:r>
              <w:rPr>
                <w:rFonts w:ascii="Times New Roman" w:eastAsia="TimesNewRomanPSMT" w:hAnsi="Times New Roman" w:cs="Times New Roman"/>
                <w:sz w:val="24"/>
                <w:szCs w:val="24"/>
                <w:lang w:val="en-GB"/>
              </w:rPr>
              <w:t>1</w:t>
            </w:r>
            <w:r>
              <w:rPr>
                <w:rFonts w:ascii="Times New Roman" w:eastAsia="TimesNewRomanPSMT" w:hAnsi="Times New Roman" w:cs="Times New Roman" w:hint="eastAsia"/>
                <w:sz w:val="24"/>
                <w:szCs w:val="24"/>
                <w:lang w:val="en-GB" w:eastAsia="zh-CN"/>
              </w:rPr>
              <w:t>7</w:t>
            </w:r>
            <w:r>
              <w:rPr>
                <w:rFonts w:ascii="Times New Roman" w:eastAsia="TimesNewRomanPSMT" w:hAnsi="Times New Roman" w:cs="Times New Roman"/>
                <w:sz w:val="24"/>
                <w:szCs w:val="24"/>
                <w:lang w:val="en-GB"/>
              </w:rPr>
              <w:t>YanzhoumeiyeSCP00</w:t>
            </w:r>
            <w:r w:rsidR="00716C2E">
              <w:rPr>
                <w:rFonts w:ascii="Times New Roman" w:eastAsia="TimesNewRomanPSMT" w:hAnsi="Times New Roman" w:cs="Times New Roman" w:hint="eastAsia"/>
                <w:sz w:val="24"/>
                <w:szCs w:val="24"/>
                <w:lang w:val="en-GB" w:eastAsia="zh-CN"/>
              </w:rPr>
              <w:t>7</w:t>
            </w:r>
          </w:p>
        </w:tc>
      </w:tr>
      <w:tr w:rsidR="00A761C7" w:rsidRPr="00A9143B" w:rsidTr="007949D3">
        <w:trPr>
          <w:jc w:val="center"/>
        </w:trPr>
        <w:tc>
          <w:tcPr>
            <w:tcW w:w="1526" w:type="dxa"/>
            <w:vAlign w:val="center"/>
          </w:tcPr>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Code</w:t>
            </w:r>
          </w:p>
        </w:tc>
        <w:tc>
          <w:tcPr>
            <w:tcW w:w="2551" w:type="dxa"/>
            <w:vAlign w:val="center"/>
          </w:tcPr>
          <w:p w:rsidR="00A761C7" w:rsidRPr="00A9143B" w:rsidRDefault="00D8526D" w:rsidP="007949D3">
            <w:pPr>
              <w:autoSpaceDE w:val="0"/>
              <w:autoSpaceDN w:val="0"/>
              <w:adjustRightInd w:val="0"/>
              <w:spacing w:line="360" w:lineRule="exact"/>
              <w:jc w:val="center"/>
              <w:rPr>
                <w:rFonts w:ascii="Times New Roman" w:hAnsi="Times New Roman" w:cs="Times New Roman"/>
                <w:sz w:val="24"/>
                <w:szCs w:val="24"/>
                <w:lang w:eastAsia="zh-CN"/>
              </w:rPr>
            </w:pPr>
            <w:r w:rsidRPr="00BA17CD">
              <w:rPr>
                <w:rFonts w:ascii="Times New Roman" w:eastAsia="TimesNewRomanPSMT" w:hAnsi="Times New Roman" w:cs="Times New Roman"/>
                <w:color w:val="333333"/>
                <w:sz w:val="24"/>
                <w:szCs w:val="24"/>
                <w:lang w:val="en-GB"/>
              </w:rPr>
              <w:t>01175</w:t>
            </w:r>
            <w:r w:rsidR="00716C2E">
              <w:rPr>
                <w:rFonts w:ascii="Times New Roman" w:eastAsia="TimesNewRomanPSMT" w:hAnsi="Times New Roman" w:cs="Times New Roman" w:hint="eastAsia"/>
                <w:color w:val="333333"/>
                <w:sz w:val="24"/>
                <w:szCs w:val="24"/>
                <w:lang w:val="en-GB" w:eastAsia="zh-CN"/>
              </w:rPr>
              <w:t>5045</w:t>
            </w:r>
          </w:p>
        </w:tc>
        <w:tc>
          <w:tcPr>
            <w:tcW w:w="1577" w:type="dxa"/>
            <w:vAlign w:val="center"/>
          </w:tcPr>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Term</w:t>
            </w:r>
          </w:p>
        </w:tc>
        <w:tc>
          <w:tcPr>
            <w:tcW w:w="3265" w:type="dxa"/>
            <w:vAlign w:val="center"/>
          </w:tcPr>
          <w:p w:rsidR="00A761C7" w:rsidRPr="00A9143B" w:rsidRDefault="00A761C7" w:rsidP="007949D3">
            <w:pPr>
              <w:autoSpaceDE w:val="0"/>
              <w:autoSpaceDN w:val="0"/>
              <w:adjustRightInd w:val="0"/>
              <w:spacing w:line="360" w:lineRule="exact"/>
              <w:jc w:val="center"/>
              <w:rPr>
                <w:rFonts w:ascii="Times New Roman" w:hAnsi="Times New Roman" w:cs="Times New Roman"/>
                <w:sz w:val="24"/>
                <w:szCs w:val="24"/>
              </w:rPr>
            </w:pPr>
            <w:r w:rsidRPr="00A9143B">
              <w:rPr>
                <w:rFonts w:ascii="Times New Roman" w:eastAsia="TimesNewRomanPSMT" w:hAnsi="Times New Roman" w:cs="Times New Roman"/>
                <w:sz w:val="24"/>
                <w:szCs w:val="24"/>
                <w:lang w:val="en-GB"/>
              </w:rPr>
              <w:t>270 days</w:t>
            </w:r>
          </w:p>
        </w:tc>
      </w:tr>
      <w:tr w:rsidR="00A761C7" w:rsidRPr="00A9143B" w:rsidTr="007949D3">
        <w:trPr>
          <w:trHeight w:val="644"/>
          <w:jc w:val="center"/>
        </w:trPr>
        <w:tc>
          <w:tcPr>
            <w:tcW w:w="1526" w:type="dxa"/>
            <w:vAlign w:val="center"/>
          </w:tcPr>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Value date</w:t>
            </w:r>
          </w:p>
        </w:tc>
        <w:tc>
          <w:tcPr>
            <w:tcW w:w="2551" w:type="dxa"/>
            <w:vAlign w:val="center"/>
          </w:tcPr>
          <w:p w:rsidR="00A761C7" w:rsidRPr="00A9143B" w:rsidRDefault="00716C2E" w:rsidP="007949D3">
            <w:pPr>
              <w:autoSpaceDE w:val="0"/>
              <w:autoSpaceDN w:val="0"/>
              <w:adjustRightInd w:val="0"/>
              <w:spacing w:line="360" w:lineRule="exact"/>
              <w:jc w:val="center"/>
              <w:rPr>
                <w:rFonts w:ascii="Times New Roman" w:hAnsi="Times New Roman" w:cs="Times New Roman"/>
                <w:sz w:val="24"/>
                <w:szCs w:val="24"/>
              </w:rPr>
            </w:pPr>
            <w:r>
              <w:rPr>
                <w:rFonts w:ascii="Times New Roman" w:hAnsi="Times New Roman" w:cs="Times New Roman" w:hint="eastAsia"/>
                <w:sz w:val="24"/>
                <w:szCs w:val="24"/>
                <w:lang w:val="en-GB" w:eastAsia="zh-CN"/>
              </w:rPr>
              <w:t>9</w:t>
            </w:r>
            <w:r w:rsidR="005B628A">
              <w:rPr>
                <w:rFonts w:ascii="Times New Roman" w:eastAsia="PMingLiU" w:hAnsi="Times New Roman" w:cs="Times New Roman" w:hint="eastAsia"/>
                <w:sz w:val="24"/>
                <w:szCs w:val="24"/>
                <w:lang w:val="en-GB" w:eastAsia="zh-TW"/>
              </w:rPr>
              <w:t xml:space="preserve"> </w:t>
            </w:r>
            <w:r>
              <w:rPr>
                <w:rFonts w:ascii="Times New Roman" w:hAnsi="Times New Roman" w:cs="Times New Roman" w:hint="eastAsia"/>
                <w:sz w:val="24"/>
                <w:szCs w:val="24"/>
                <w:lang w:val="en-GB" w:eastAsia="zh-CN"/>
              </w:rPr>
              <w:t>August</w:t>
            </w:r>
            <w:r>
              <w:rPr>
                <w:rFonts w:ascii="Times New Roman" w:eastAsia="TimesNewRomanPSMT" w:hAnsi="Times New Roman" w:cs="Times New Roman"/>
                <w:sz w:val="24"/>
                <w:szCs w:val="24"/>
                <w:lang w:val="en-GB" w:eastAsia="zh-CN"/>
              </w:rPr>
              <w:t xml:space="preserve"> </w:t>
            </w:r>
            <w:r w:rsidR="00245F08">
              <w:rPr>
                <w:rFonts w:ascii="Times New Roman" w:eastAsia="TimesNewRomanPSMT" w:hAnsi="Times New Roman" w:cs="Times New Roman" w:hint="eastAsia"/>
                <w:sz w:val="24"/>
                <w:szCs w:val="24"/>
                <w:lang w:val="en-GB" w:eastAsia="zh-CN"/>
              </w:rPr>
              <w:t>2017</w:t>
            </w:r>
          </w:p>
        </w:tc>
        <w:tc>
          <w:tcPr>
            <w:tcW w:w="1577" w:type="dxa"/>
            <w:vAlign w:val="center"/>
          </w:tcPr>
          <w:p w:rsidR="00A761C7" w:rsidRPr="009256B1" w:rsidRDefault="00A761C7" w:rsidP="007949D3">
            <w:pPr>
              <w:autoSpaceDE w:val="0"/>
              <w:autoSpaceDN w:val="0"/>
              <w:adjustRightInd w:val="0"/>
              <w:spacing w:line="360" w:lineRule="exact"/>
              <w:jc w:val="center"/>
              <w:rPr>
                <w:rFonts w:ascii="Times New Roman" w:eastAsia="TimesNewRomanPSMT" w:hAnsi="Times New Roman" w:cs="Times New Roman"/>
                <w:b/>
                <w:sz w:val="24"/>
                <w:szCs w:val="24"/>
                <w:lang w:val="en-GB"/>
              </w:rPr>
            </w:pPr>
            <w:r w:rsidRPr="009256B1">
              <w:rPr>
                <w:rFonts w:ascii="Times New Roman" w:eastAsia="TimesNewRomanPSMT" w:hAnsi="Times New Roman" w:cs="Times New Roman"/>
                <w:b/>
                <w:sz w:val="24"/>
                <w:szCs w:val="24"/>
                <w:lang w:val="en-GB"/>
              </w:rPr>
              <w:t>Redemption</w:t>
            </w:r>
          </w:p>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date</w:t>
            </w:r>
          </w:p>
        </w:tc>
        <w:tc>
          <w:tcPr>
            <w:tcW w:w="3265" w:type="dxa"/>
            <w:vAlign w:val="center"/>
          </w:tcPr>
          <w:p w:rsidR="00A761C7" w:rsidRPr="00A9143B" w:rsidRDefault="00716C2E" w:rsidP="007949D3">
            <w:pPr>
              <w:autoSpaceDE w:val="0"/>
              <w:autoSpaceDN w:val="0"/>
              <w:adjustRightInd w:val="0"/>
              <w:spacing w:line="360" w:lineRule="exact"/>
              <w:jc w:val="center"/>
              <w:rPr>
                <w:rFonts w:ascii="Times New Roman" w:hAnsi="Times New Roman" w:cs="Times New Roman"/>
                <w:sz w:val="24"/>
                <w:szCs w:val="24"/>
              </w:rPr>
            </w:pPr>
            <w:r>
              <w:rPr>
                <w:rFonts w:ascii="Times New Roman" w:hAnsi="Times New Roman" w:cs="Times New Roman" w:hint="eastAsia"/>
                <w:sz w:val="24"/>
                <w:szCs w:val="24"/>
                <w:lang w:val="en-GB" w:eastAsia="zh-CN"/>
              </w:rPr>
              <w:t>6</w:t>
            </w:r>
            <w:r w:rsidR="005B628A">
              <w:rPr>
                <w:rFonts w:ascii="Times New Roman" w:eastAsia="PMingLiU" w:hAnsi="Times New Roman" w:cs="Times New Roman" w:hint="eastAsia"/>
                <w:sz w:val="24"/>
                <w:szCs w:val="24"/>
                <w:lang w:val="en-GB" w:eastAsia="zh-TW"/>
              </w:rPr>
              <w:t xml:space="preserve"> </w:t>
            </w:r>
            <w:r w:rsidRPr="00843364">
              <w:rPr>
                <w:rFonts w:ascii="Times New Roman" w:eastAsia="TimesNewRomanPSMT" w:hAnsi="Times New Roman" w:cs="Times New Roman" w:hint="eastAsia"/>
                <w:sz w:val="24"/>
                <w:szCs w:val="24"/>
                <w:lang w:val="en-GB" w:eastAsia="zh-CN"/>
              </w:rPr>
              <w:t>May</w:t>
            </w:r>
            <w:r w:rsidRPr="00716C2E">
              <w:rPr>
                <w:rFonts w:ascii="Times New Roman" w:eastAsia="TimesNewRomanPSMT" w:hAnsi="Times New Roman" w:cs="Times New Roman" w:hint="eastAsia"/>
                <w:sz w:val="24"/>
                <w:szCs w:val="24"/>
                <w:lang w:val="en-GB" w:eastAsia="zh-CN"/>
              </w:rPr>
              <w:t xml:space="preserve"> </w:t>
            </w:r>
            <w:r w:rsidR="00E6173D">
              <w:rPr>
                <w:rFonts w:ascii="Times New Roman" w:eastAsia="TimesNewRomanPSMT" w:hAnsi="Times New Roman" w:cs="Times New Roman"/>
                <w:sz w:val="24"/>
                <w:szCs w:val="24"/>
                <w:lang w:val="en-GB" w:eastAsia="zh-CN"/>
              </w:rPr>
              <w:t>2018</w:t>
            </w:r>
          </w:p>
        </w:tc>
      </w:tr>
      <w:tr w:rsidR="00A761C7" w:rsidRPr="00A9143B" w:rsidTr="007949D3">
        <w:trPr>
          <w:trHeight w:val="1010"/>
          <w:jc w:val="center"/>
        </w:trPr>
        <w:tc>
          <w:tcPr>
            <w:tcW w:w="1526" w:type="dxa"/>
            <w:vAlign w:val="center"/>
          </w:tcPr>
          <w:p w:rsidR="00A761C7" w:rsidRPr="009256B1" w:rsidRDefault="00A761C7" w:rsidP="007949D3">
            <w:pPr>
              <w:autoSpaceDE w:val="0"/>
              <w:autoSpaceDN w:val="0"/>
              <w:adjustRightInd w:val="0"/>
              <w:spacing w:line="360" w:lineRule="exact"/>
              <w:jc w:val="center"/>
              <w:rPr>
                <w:rFonts w:ascii="Times New Roman" w:eastAsia="TimesNewRomanPSMT" w:hAnsi="Times New Roman" w:cs="Times New Roman"/>
                <w:b/>
                <w:sz w:val="24"/>
                <w:szCs w:val="24"/>
                <w:lang w:val="en-GB"/>
              </w:rPr>
            </w:pPr>
            <w:r w:rsidRPr="009256B1">
              <w:rPr>
                <w:rFonts w:ascii="Times New Roman" w:eastAsia="TimesNewRomanPSMT" w:hAnsi="Times New Roman" w:cs="Times New Roman"/>
                <w:b/>
                <w:sz w:val="24"/>
                <w:szCs w:val="24"/>
                <w:lang w:val="en-GB"/>
              </w:rPr>
              <w:t>Proposed</w:t>
            </w:r>
          </w:p>
          <w:p w:rsidR="00A761C7" w:rsidRPr="009256B1" w:rsidRDefault="00A761C7" w:rsidP="007949D3">
            <w:pPr>
              <w:autoSpaceDE w:val="0"/>
              <w:autoSpaceDN w:val="0"/>
              <w:adjustRightInd w:val="0"/>
              <w:spacing w:line="360" w:lineRule="exact"/>
              <w:jc w:val="center"/>
              <w:rPr>
                <w:rFonts w:ascii="Times New Roman" w:eastAsia="TimesNewRomanPSMT" w:hAnsi="Times New Roman" w:cs="Times New Roman"/>
                <w:b/>
                <w:sz w:val="24"/>
                <w:szCs w:val="24"/>
                <w:lang w:val="en-GB"/>
              </w:rPr>
            </w:pPr>
            <w:r w:rsidRPr="009256B1">
              <w:rPr>
                <w:rFonts w:ascii="Times New Roman" w:eastAsia="TimesNewRomanPSMT" w:hAnsi="Times New Roman" w:cs="Times New Roman"/>
                <w:b/>
                <w:sz w:val="24"/>
                <w:szCs w:val="24"/>
                <w:lang w:val="en-GB"/>
              </w:rPr>
              <w:t>issuance</w:t>
            </w:r>
          </w:p>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amount</w:t>
            </w:r>
          </w:p>
        </w:tc>
        <w:tc>
          <w:tcPr>
            <w:tcW w:w="2551" w:type="dxa"/>
            <w:vAlign w:val="center"/>
          </w:tcPr>
          <w:p w:rsidR="00A761C7" w:rsidRPr="00A9143B" w:rsidRDefault="00544941" w:rsidP="007949D3">
            <w:pPr>
              <w:autoSpaceDE w:val="0"/>
              <w:autoSpaceDN w:val="0"/>
              <w:adjustRightInd w:val="0"/>
              <w:spacing w:line="360" w:lineRule="exact"/>
              <w:jc w:val="center"/>
              <w:rPr>
                <w:rFonts w:ascii="Times New Roman" w:hAnsi="Times New Roman" w:cs="Times New Roman"/>
                <w:sz w:val="24"/>
                <w:szCs w:val="24"/>
              </w:rPr>
            </w:pPr>
            <w:r>
              <w:rPr>
                <w:rFonts w:ascii="Times New Roman" w:eastAsia="TimesNewRomanPSMT" w:hAnsi="Times New Roman" w:cs="Times New Roman"/>
                <w:sz w:val="24"/>
                <w:szCs w:val="24"/>
                <w:lang w:val="en-GB"/>
              </w:rPr>
              <w:t>RMB</w:t>
            </w:r>
            <w:r w:rsidR="008937A3">
              <w:rPr>
                <w:rFonts w:ascii="Times New Roman" w:eastAsia="TimesNewRomanPSMT" w:hAnsi="Times New Roman" w:cs="Times New Roman" w:hint="eastAsia"/>
                <w:sz w:val="24"/>
                <w:szCs w:val="24"/>
                <w:lang w:val="en-GB" w:eastAsia="zh-CN"/>
              </w:rPr>
              <w:t>1.5</w:t>
            </w:r>
            <w:r w:rsidR="00A761C7" w:rsidRPr="00A9143B">
              <w:rPr>
                <w:rFonts w:ascii="Times New Roman" w:eastAsia="TimesNewRomanPSMT" w:hAnsi="Times New Roman" w:cs="Times New Roman"/>
                <w:sz w:val="24"/>
                <w:szCs w:val="24"/>
                <w:lang w:val="en-GB"/>
              </w:rPr>
              <w:t xml:space="preserve"> billion</w:t>
            </w:r>
          </w:p>
        </w:tc>
        <w:tc>
          <w:tcPr>
            <w:tcW w:w="1577" w:type="dxa"/>
            <w:vAlign w:val="center"/>
          </w:tcPr>
          <w:p w:rsidR="00A761C7" w:rsidRPr="009256B1" w:rsidRDefault="00A761C7" w:rsidP="007949D3">
            <w:pPr>
              <w:autoSpaceDE w:val="0"/>
              <w:autoSpaceDN w:val="0"/>
              <w:adjustRightInd w:val="0"/>
              <w:spacing w:line="360" w:lineRule="exact"/>
              <w:jc w:val="center"/>
              <w:rPr>
                <w:rFonts w:ascii="Times New Roman" w:eastAsia="TimesNewRomanPSMT" w:hAnsi="Times New Roman" w:cs="Times New Roman"/>
                <w:b/>
                <w:sz w:val="24"/>
                <w:szCs w:val="24"/>
                <w:lang w:val="en-GB"/>
              </w:rPr>
            </w:pPr>
            <w:r w:rsidRPr="009256B1">
              <w:rPr>
                <w:rFonts w:ascii="Times New Roman" w:eastAsia="TimesNewRomanPSMT" w:hAnsi="Times New Roman" w:cs="Times New Roman"/>
                <w:b/>
                <w:sz w:val="24"/>
                <w:szCs w:val="24"/>
                <w:lang w:val="en-GB"/>
              </w:rPr>
              <w:t>Actual</w:t>
            </w:r>
          </w:p>
          <w:p w:rsidR="00A761C7" w:rsidRPr="009256B1" w:rsidRDefault="00A761C7" w:rsidP="007949D3">
            <w:pPr>
              <w:autoSpaceDE w:val="0"/>
              <w:autoSpaceDN w:val="0"/>
              <w:adjustRightInd w:val="0"/>
              <w:spacing w:line="360" w:lineRule="exact"/>
              <w:jc w:val="center"/>
              <w:rPr>
                <w:rFonts w:ascii="Times New Roman" w:eastAsia="TimesNewRomanPSMT" w:hAnsi="Times New Roman" w:cs="Times New Roman"/>
                <w:b/>
                <w:sz w:val="24"/>
                <w:szCs w:val="24"/>
                <w:lang w:val="en-GB"/>
              </w:rPr>
            </w:pPr>
            <w:r w:rsidRPr="009256B1">
              <w:rPr>
                <w:rFonts w:ascii="Times New Roman" w:eastAsia="TimesNewRomanPSMT" w:hAnsi="Times New Roman" w:cs="Times New Roman"/>
                <w:b/>
                <w:sz w:val="24"/>
                <w:szCs w:val="24"/>
                <w:lang w:val="en-GB"/>
              </w:rPr>
              <w:t>issuance</w:t>
            </w:r>
          </w:p>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amount</w:t>
            </w:r>
          </w:p>
        </w:tc>
        <w:tc>
          <w:tcPr>
            <w:tcW w:w="3265" w:type="dxa"/>
            <w:vAlign w:val="center"/>
          </w:tcPr>
          <w:p w:rsidR="00A761C7" w:rsidRPr="00A9143B" w:rsidRDefault="00A761C7" w:rsidP="007949D3">
            <w:pPr>
              <w:autoSpaceDE w:val="0"/>
              <w:autoSpaceDN w:val="0"/>
              <w:adjustRightInd w:val="0"/>
              <w:spacing w:line="360" w:lineRule="exact"/>
              <w:jc w:val="center"/>
              <w:rPr>
                <w:rFonts w:ascii="Times New Roman" w:hAnsi="Times New Roman" w:cs="Times New Roman"/>
                <w:sz w:val="24"/>
                <w:szCs w:val="24"/>
              </w:rPr>
            </w:pPr>
            <w:r w:rsidRPr="00A9143B">
              <w:rPr>
                <w:rFonts w:ascii="Times New Roman" w:eastAsia="TimesNewRomanPSMT" w:hAnsi="Times New Roman" w:cs="Times New Roman"/>
                <w:sz w:val="24"/>
                <w:szCs w:val="24"/>
                <w:lang w:val="en-GB"/>
              </w:rPr>
              <w:t>RMB</w:t>
            </w:r>
            <w:r w:rsidR="008937A3">
              <w:rPr>
                <w:rFonts w:ascii="Times New Roman" w:eastAsia="TimesNewRomanPSMT" w:hAnsi="Times New Roman" w:cs="Times New Roman" w:hint="eastAsia"/>
                <w:sz w:val="24"/>
                <w:szCs w:val="24"/>
                <w:lang w:val="en-GB" w:eastAsia="zh-CN"/>
              </w:rPr>
              <w:t>1.5</w:t>
            </w:r>
            <w:r w:rsidRPr="00A9143B">
              <w:rPr>
                <w:rFonts w:ascii="Times New Roman" w:eastAsia="TimesNewRomanPSMT" w:hAnsi="Times New Roman" w:cs="Times New Roman"/>
                <w:sz w:val="24"/>
                <w:szCs w:val="24"/>
                <w:lang w:val="en-GB"/>
              </w:rPr>
              <w:t xml:space="preserve"> billion</w:t>
            </w:r>
          </w:p>
        </w:tc>
      </w:tr>
      <w:tr w:rsidR="00A761C7" w:rsidRPr="00A9143B" w:rsidTr="007949D3">
        <w:trPr>
          <w:trHeight w:val="690"/>
          <w:jc w:val="center"/>
        </w:trPr>
        <w:tc>
          <w:tcPr>
            <w:tcW w:w="1526" w:type="dxa"/>
            <w:vAlign w:val="center"/>
          </w:tcPr>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Interest rate</w:t>
            </w:r>
          </w:p>
        </w:tc>
        <w:tc>
          <w:tcPr>
            <w:tcW w:w="2551" w:type="dxa"/>
            <w:vAlign w:val="center"/>
          </w:tcPr>
          <w:p w:rsidR="00A761C7" w:rsidRPr="00A9143B" w:rsidRDefault="00CB0809" w:rsidP="007949D3">
            <w:pPr>
              <w:autoSpaceDE w:val="0"/>
              <w:autoSpaceDN w:val="0"/>
              <w:adjustRightInd w:val="0"/>
              <w:spacing w:line="360" w:lineRule="exact"/>
              <w:jc w:val="center"/>
              <w:rPr>
                <w:rFonts w:ascii="Times New Roman" w:hAnsi="Times New Roman" w:cs="Times New Roman"/>
                <w:sz w:val="24"/>
                <w:szCs w:val="24"/>
              </w:rPr>
            </w:pPr>
            <w:r w:rsidRPr="00CB0809">
              <w:rPr>
                <w:rFonts w:ascii="Times New Roman" w:eastAsia="TimesNewRomanPSMT" w:hAnsi="Times New Roman" w:cs="Times New Roman"/>
                <w:sz w:val="24"/>
                <w:szCs w:val="24"/>
                <w:lang w:val="en-GB" w:eastAsia="zh-CN"/>
              </w:rPr>
              <w:t>4.</w:t>
            </w:r>
            <w:r w:rsidR="005B628A">
              <w:rPr>
                <w:rFonts w:ascii="Times New Roman" w:eastAsia="PMingLiU" w:hAnsi="Times New Roman" w:cs="Times New Roman" w:hint="eastAsia"/>
                <w:sz w:val="24"/>
                <w:szCs w:val="24"/>
                <w:lang w:val="en-GB" w:eastAsia="zh-TW"/>
              </w:rPr>
              <w:t>6</w:t>
            </w:r>
            <w:r w:rsidR="00716C2E">
              <w:rPr>
                <w:rFonts w:ascii="Times New Roman" w:hAnsi="Times New Roman" w:cs="Times New Roman" w:hint="eastAsia"/>
                <w:sz w:val="24"/>
                <w:szCs w:val="24"/>
                <w:lang w:val="en-GB" w:eastAsia="zh-CN"/>
              </w:rPr>
              <w:t>8</w:t>
            </w:r>
            <w:r w:rsidRPr="00CB0809">
              <w:rPr>
                <w:rFonts w:ascii="Times New Roman" w:eastAsia="TimesNewRomanPSMT" w:hAnsi="Times New Roman" w:cs="Times New Roman"/>
                <w:sz w:val="24"/>
                <w:szCs w:val="24"/>
                <w:lang w:val="en-GB" w:eastAsia="zh-CN"/>
              </w:rPr>
              <w:t>%</w:t>
            </w:r>
          </w:p>
        </w:tc>
        <w:tc>
          <w:tcPr>
            <w:tcW w:w="1577" w:type="dxa"/>
            <w:vAlign w:val="center"/>
          </w:tcPr>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Issue price</w:t>
            </w:r>
          </w:p>
        </w:tc>
        <w:tc>
          <w:tcPr>
            <w:tcW w:w="3265" w:type="dxa"/>
            <w:vAlign w:val="center"/>
          </w:tcPr>
          <w:p w:rsidR="00A761C7" w:rsidRPr="00A9143B" w:rsidRDefault="00A761C7" w:rsidP="007949D3">
            <w:pPr>
              <w:autoSpaceDE w:val="0"/>
              <w:autoSpaceDN w:val="0"/>
              <w:adjustRightInd w:val="0"/>
              <w:spacing w:line="360" w:lineRule="exact"/>
              <w:jc w:val="center"/>
              <w:rPr>
                <w:rFonts w:ascii="Times New Roman" w:eastAsia="TimesNewRomanPSMT" w:hAnsi="Times New Roman" w:cs="Times New Roman"/>
                <w:sz w:val="24"/>
                <w:szCs w:val="24"/>
                <w:lang w:val="en-GB"/>
              </w:rPr>
            </w:pPr>
            <w:r w:rsidRPr="00A9143B">
              <w:rPr>
                <w:rFonts w:ascii="Times New Roman" w:eastAsia="TimesNewRomanPSMT" w:hAnsi="Times New Roman" w:cs="Times New Roman"/>
                <w:sz w:val="24"/>
                <w:szCs w:val="24"/>
                <w:lang w:val="en-GB"/>
              </w:rPr>
              <w:t>RMB100 per unit (each</w:t>
            </w:r>
          </w:p>
          <w:p w:rsidR="00A761C7" w:rsidRPr="007949D3" w:rsidRDefault="00A761C7" w:rsidP="007949D3">
            <w:pPr>
              <w:autoSpaceDE w:val="0"/>
              <w:autoSpaceDN w:val="0"/>
              <w:adjustRightInd w:val="0"/>
              <w:spacing w:line="360" w:lineRule="exact"/>
              <w:jc w:val="center"/>
              <w:rPr>
                <w:rFonts w:ascii="Times New Roman" w:eastAsia="TimesNewRomanPSMT" w:hAnsi="Times New Roman" w:cs="Times New Roman"/>
                <w:sz w:val="24"/>
                <w:szCs w:val="24"/>
                <w:lang w:val="en-GB"/>
              </w:rPr>
            </w:pPr>
            <w:r w:rsidRPr="00A9143B">
              <w:rPr>
                <w:rFonts w:ascii="Times New Roman" w:eastAsia="TimesNewRomanPSMT" w:hAnsi="Times New Roman" w:cs="Times New Roman"/>
                <w:sz w:val="24"/>
                <w:szCs w:val="24"/>
                <w:lang w:val="en-GB"/>
              </w:rPr>
              <w:t>with RMB100 face</w:t>
            </w:r>
            <w:r w:rsidR="007949D3">
              <w:rPr>
                <w:rFonts w:ascii="Times New Roman" w:eastAsia="TimesNewRomanPSMT" w:hAnsi="Times New Roman" w:cs="Times New Roman" w:hint="eastAsia"/>
                <w:sz w:val="24"/>
                <w:szCs w:val="24"/>
                <w:lang w:val="en-GB" w:eastAsia="zh-CN"/>
              </w:rPr>
              <w:t xml:space="preserve"> </w:t>
            </w:r>
            <w:r w:rsidRPr="00A9143B">
              <w:rPr>
                <w:rFonts w:ascii="Times New Roman" w:eastAsia="TimesNewRomanPSMT" w:hAnsi="Times New Roman" w:cs="Times New Roman"/>
                <w:sz w:val="24"/>
                <w:szCs w:val="24"/>
                <w:lang w:val="en-GB"/>
              </w:rPr>
              <w:t>value)</w:t>
            </w:r>
          </w:p>
        </w:tc>
      </w:tr>
      <w:tr w:rsidR="00A761C7" w:rsidRPr="00A9143B" w:rsidTr="007949D3">
        <w:trPr>
          <w:jc w:val="center"/>
        </w:trPr>
        <w:tc>
          <w:tcPr>
            <w:tcW w:w="1526" w:type="dxa"/>
            <w:vAlign w:val="center"/>
          </w:tcPr>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Bookrunner</w:t>
            </w:r>
          </w:p>
        </w:tc>
        <w:tc>
          <w:tcPr>
            <w:tcW w:w="7393" w:type="dxa"/>
            <w:gridSpan w:val="3"/>
            <w:vAlign w:val="center"/>
          </w:tcPr>
          <w:p w:rsidR="00A761C7" w:rsidRPr="00B75591" w:rsidRDefault="00716C2E" w:rsidP="007949D3">
            <w:pPr>
              <w:autoSpaceDE w:val="0"/>
              <w:autoSpaceDN w:val="0"/>
              <w:adjustRightInd w:val="0"/>
              <w:spacing w:line="360" w:lineRule="exact"/>
              <w:jc w:val="center"/>
              <w:rPr>
                <w:rFonts w:ascii="Times New Roman" w:eastAsia="PMingLiU" w:hAnsi="Times New Roman" w:cs="Times New Roman"/>
                <w:sz w:val="24"/>
                <w:szCs w:val="24"/>
                <w:lang w:eastAsia="zh-TW"/>
              </w:rPr>
            </w:pPr>
            <w:r>
              <w:rPr>
                <w:rFonts w:ascii="Times New Roman" w:eastAsia="TimesNewRomanPSMT" w:hAnsi="Times New Roman" w:cs="Times New Roman" w:hint="eastAsia"/>
                <w:sz w:val="24"/>
                <w:szCs w:val="24"/>
                <w:lang w:val="en-GB" w:eastAsia="zh-CN"/>
              </w:rPr>
              <w:t>Bank of Communications</w:t>
            </w:r>
            <w:r w:rsidR="003367BE">
              <w:rPr>
                <w:rFonts w:ascii="Times New Roman" w:eastAsia="TimesNewRomanPSMT" w:hAnsi="Times New Roman" w:cs="Times New Roman" w:hint="eastAsia"/>
                <w:sz w:val="24"/>
                <w:szCs w:val="24"/>
                <w:lang w:val="en-GB" w:eastAsia="zh-CN"/>
              </w:rPr>
              <w:t xml:space="preserve"> </w:t>
            </w:r>
            <w:r w:rsidR="003367BE" w:rsidRPr="003367BE">
              <w:rPr>
                <w:rFonts w:ascii="Times New Roman" w:eastAsia="TimesNewRomanPSMT" w:hAnsi="Times New Roman" w:cs="Times New Roman"/>
                <w:sz w:val="24"/>
                <w:szCs w:val="24"/>
                <w:lang w:val="en-GB" w:eastAsia="zh-CN"/>
              </w:rPr>
              <w:t>Co</w:t>
            </w:r>
            <w:r w:rsidR="00D33830">
              <w:rPr>
                <w:rFonts w:ascii="Times New Roman" w:eastAsia="PMingLiU" w:hAnsi="Times New Roman" w:cs="Times New Roman" w:hint="eastAsia"/>
                <w:sz w:val="24"/>
                <w:szCs w:val="24"/>
                <w:lang w:val="en-GB" w:eastAsia="zh-TW"/>
              </w:rPr>
              <w:t>.</w:t>
            </w:r>
            <w:r w:rsidR="003367BE" w:rsidRPr="003367BE">
              <w:rPr>
                <w:rFonts w:ascii="Times New Roman" w:eastAsia="TimesNewRomanPSMT" w:hAnsi="Times New Roman" w:cs="Times New Roman"/>
                <w:sz w:val="24"/>
                <w:szCs w:val="24"/>
                <w:lang w:val="en-GB" w:eastAsia="zh-CN"/>
              </w:rPr>
              <w:t>, Ltd</w:t>
            </w:r>
            <w:r w:rsidR="00D33830">
              <w:rPr>
                <w:rFonts w:ascii="Times New Roman" w:eastAsia="PMingLiU" w:hAnsi="Times New Roman" w:cs="Times New Roman" w:hint="eastAsia"/>
                <w:sz w:val="24"/>
                <w:szCs w:val="24"/>
                <w:lang w:val="en-GB" w:eastAsia="zh-TW"/>
              </w:rPr>
              <w:t>.</w:t>
            </w:r>
          </w:p>
        </w:tc>
      </w:tr>
      <w:tr w:rsidR="00A761C7" w:rsidRPr="00A9143B" w:rsidTr="007949D3">
        <w:trPr>
          <w:trHeight w:val="795"/>
          <w:jc w:val="center"/>
        </w:trPr>
        <w:tc>
          <w:tcPr>
            <w:tcW w:w="1526" w:type="dxa"/>
            <w:vAlign w:val="center"/>
          </w:tcPr>
          <w:p w:rsidR="00A761C7" w:rsidRPr="009256B1" w:rsidRDefault="00A761C7" w:rsidP="007949D3">
            <w:pPr>
              <w:autoSpaceDE w:val="0"/>
              <w:autoSpaceDN w:val="0"/>
              <w:adjustRightInd w:val="0"/>
              <w:spacing w:line="360" w:lineRule="exact"/>
              <w:jc w:val="center"/>
              <w:rPr>
                <w:rFonts w:ascii="Times New Roman" w:eastAsia="TimesNewRomanPSMT" w:hAnsi="Times New Roman" w:cs="Times New Roman"/>
                <w:b/>
                <w:sz w:val="24"/>
                <w:szCs w:val="24"/>
                <w:lang w:val="en-GB"/>
              </w:rPr>
            </w:pPr>
            <w:r w:rsidRPr="009256B1">
              <w:rPr>
                <w:rFonts w:ascii="Times New Roman" w:eastAsia="TimesNewRomanPSMT" w:hAnsi="Times New Roman" w:cs="Times New Roman"/>
                <w:b/>
                <w:sz w:val="24"/>
                <w:szCs w:val="24"/>
                <w:lang w:val="en-GB"/>
              </w:rPr>
              <w:t>Lead</w:t>
            </w:r>
          </w:p>
          <w:p w:rsidR="00A761C7" w:rsidRPr="009256B1" w:rsidRDefault="00A761C7" w:rsidP="007949D3">
            <w:pPr>
              <w:autoSpaceDE w:val="0"/>
              <w:autoSpaceDN w:val="0"/>
              <w:adjustRightInd w:val="0"/>
              <w:spacing w:line="360" w:lineRule="exact"/>
              <w:jc w:val="center"/>
              <w:rPr>
                <w:rFonts w:ascii="Times New Roman" w:hAnsi="Times New Roman" w:cs="Times New Roman"/>
                <w:b/>
                <w:sz w:val="24"/>
                <w:szCs w:val="24"/>
              </w:rPr>
            </w:pPr>
            <w:r w:rsidRPr="009256B1">
              <w:rPr>
                <w:rFonts w:ascii="Times New Roman" w:eastAsia="TimesNewRomanPSMT" w:hAnsi="Times New Roman" w:cs="Times New Roman"/>
                <w:b/>
                <w:sz w:val="24"/>
                <w:szCs w:val="24"/>
                <w:lang w:val="en-GB"/>
              </w:rPr>
              <w:t>underwriter</w:t>
            </w:r>
          </w:p>
        </w:tc>
        <w:tc>
          <w:tcPr>
            <w:tcW w:w="7393" w:type="dxa"/>
            <w:gridSpan w:val="3"/>
            <w:vAlign w:val="center"/>
          </w:tcPr>
          <w:p w:rsidR="00A761C7" w:rsidRPr="00B75591" w:rsidRDefault="00716C2E" w:rsidP="007949D3">
            <w:pPr>
              <w:autoSpaceDE w:val="0"/>
              <w:autoSpaceDN w:val="0"/>
              <w:adjustRightInd w:val="0"/>
              <w:spacing w:line="360" w:lineRule="exact"/>
              <w:jc w:val="center"/>
              <w:rPr>
                <w:rFonts w:ascii="Times New Roman" w:eastAsia="PMingLiU" w:hAnsi="Times New Roman" w:cs="Times New Roman"/>
                <w:sz w:val="24"/>
                <w:szCs w:val="24"/>
                <w:lang w:eastAsia="zh-TW"/>
              </w:rPr>
            </w:pPr>
            <w:r>
              <w:rPr>
                <w:rFonts w:ascii="Times New Roman" w:eastAsia="TimesNewRomanPSMT" w:hAnsi="Times New Roman" w:cs="Times New Roman" w:hint="eastAsia"/>
                <w:sz w:val="24"/>
                <w:szCs w:val="24"/>
                <w:lang w:val="en-GB" w:eastAsia="zh-CN"/>
              </w:rPr>
              <w:t>Bank of Communications</w:t>
            </w:r>
            <w:r w:rsidR="003367BE">
              <w:rPr>
                <w:rFonts w:ascii="Times New Roman" w:eastAsia="TimesNewRomanPSMT" w:hAnsi="Times New Roman" w:cs="Times New Roman" w:hint="eastAsia"/>
                <w:sz w:val="24"/>
                <w:szCs w:val="24"/>
                <w:lang w:val="en-GB" w:eastAsia="zh-CN"/>
              </w:rPr>
              <w:t xml:space="preserve"> </w:t>
            </w:r>
            <w:r w:rsidR="003367BE" w:rsidRPr="003367BE">
              <w:rPr>
                <w:rFonts w:ascii="Times New Roman" w:eastAsia="TimesNewRomanPSMT" w:hAnsi="Times New Roman" w:cs="Times New Roman"/>
                <w:sz w:val="24"/>
                <w:szCs w:val="24"/>
                <w:lang w:val="en-GB" w:eastAsia="zh-CN"/>
              </w:rPr>
              <w:t>Co</w:t>
            </w:r>
            <w:r w:rsidR="00D33830">
              <w:rPr>
                <w:rFonts w:ascii="Times New Roman" w:eastAsia="PMingLiU" w:hAnsi="Times New Roman" w:cs="Times New Roman" w:hint="eastAsia"/>
                <w:sz w:val="24"/>
                <w:szCs w:val="24"/>
                <w:lang w:val="en-GB" w:eastAsia="zh-TW"/>
              </w:rPr>
              <w:t>.</w:t>
            </w:r>
            <w:r w:rsidR="003367BE" w:rsidRPr="003367BE">
              <w:rPr>
                <w:rFonts w:ascii="Times New Roman" w:eastAsia="TimesNewRomanPSMT" w:hAnsi="Times New Roman" w:cs="Times New Roman"/>
                <w:sz w:val="24"/>
                <w:szCs w:val="24"/>
                <w:lang w:val="en-GB" w:eastAsia="zh-CN"/>
              </w:rPr>
              <w:t>, Ltd</w:t>
            </w:r>
            <w:r w:rsidR="00D33830">
              <w:rPr>
                <w:rFonts w:ascii="Times New Roman" w:eastAsia="PMingLiU" w:hAnsi="Times New Roman" w:cs="Times New Roman" w:hint="eastAsia"/>
                <w:sz w:val="24"/>
                <w:szCs w:val="24"/>
                <w:lang w:val="en-GB" w:eastAsia="zh-TW"/>
              </w:rPr>
              <w:t>.</w:t>
            </w:r>
          </w:p>
        </w:tc>
      </w:tr>
      <w:tr w:rsidR="00E6173D" w:rsidRPr="00A9143B" w:rsidTr="007949D3">
        <w:trPr>
          <w:trHeight w:val="581"/>
          <w:jc w:val="center"/>
        </w:trPr>
        <w:tc>
          <w:tcPr>
            <w:tcW w:w="1526" w:type="dxa"/>
            <w:vAlign w:val="center"/>
          </w:tcPr>
          <w:p w:rsidR="00E6173D" w:rsidRPr="009256B1" w:rsidRDefault="00E6173D" w:rsidP="007949D3">
            <w:pPr>
              <w:autoSpaceDE w:val="0"/>
              <w:autoSpaceDN w:val="0"/>
              <w:adjustRightInd w:val="0"/>
              <w:spacing w:line="360" w:lineRule="exact"/>
              <w:jc w:val="center"/>
              <w:rPr>
                <w:rFonts w:ascii="Times New Roman" w:eastAsia="TimesNewRomanPSMT" w:hAnsi="Times New Roman" w:cs="Times New Roman"/>
                <w:b/>
                <w:sz w:val="24"/>
                <w:szCs w:val="24"/>
                <w:lang w:val="en-GB"/>
              </w:rPr>
            </w:pPr>
            <w:r w:rsidRPr="009256B1">
              <w:rPr>
                <w:rFonts w:ascii="Times New Roman" w:eastAsia="TimesNewRomanPSMT" w:hAnsi="Times New Roman" w:cs="Times New Roman"/>
                <w:b/>
                <w:sz w:val="24"/>
                <w:szCs w:val="24"/>
                <w:lang w:val="en-GB"/>
              </w:rPr>
              <w:t>Joint lead underwriter</w:t>
            </w:r>
          </w:p>
        </w:tc>
        <w:tc>
          <w:tcPr>
            <w:tcW w:w="7393" w:type="dxa"/>
            <w:gridSpan w:val="3"/>
            <w:vAlign w:val="center"/>
          </w:tcPr>
          <w:p w:rsidR="00E6173D" w:rsidRPr="00A9143B" w:rsidRDefault="00E6173D" w:rsidP="007949D3">
            <w:pPr>
              <w:autoSpaceDE w:val="0"/>
              <w:autoSpaceDN w:val="0"/>
              <w:adjustRightInd w:val="0"/>
              <w:spacing w:line="360" w:lineRule="exact"/>
              <w:jc w:val="center"/>
              <w:rPr>
                <w:rFonts w:ascii="Times New Roman" w:eastAsia="TimesNewRomanPSMT" w:hAnsi="Times New Roman" w:cs="Times New Roman"/>
                <w:sz w:val="24"/>
                <w:szCs w:val="24"/>
                <w:lang w:val="en-GB"/>
              </w:rPr>
            </w:pPr>
            <w:r w:rsidRPr="00E6173D">
              <w:rPr>
                <w:rFonts w:ascii="Times New Roman" w:eastAsia="TimesNewRomanPSMT" w:hAnsi="Times New Roman" w:cs="Times New Roman"/>
                <w:sz w:val="24"/>
                <w:szCs w:val="24"/>
                <w:lang w:val="en-GB"/>
              </w:rPr>
              <w:t>Haitong Securities Company Limited</w:t>
            </w:r>
          </w:p>
        </w:tc>
      </w:tr>
    </w:tbl>
    <w:p w:rsidR="00A761C7" w:rsidRPr="00A9143B" w:rsidRDefault="00A761C7" w:rsidP="00A761C7">
      <w:pPr>
        <w:autoSpaceDE w:val="0"/>
        <w:autoSpaceDN w:val="0"/>
        <w:adjustRightInd w:val="0"/>
        <w:jc w:val="both"/>
        <w:rPr>
          <w:rFonts w:ascii="Times New Roman" w:hAnsi="Times New Roman" w:cs="Times New Roman"/>
          <w:sz w:val="24"/>
          <w:szCs w:val="24"/>
        </w:rPr>
      </w:pPr>
    </w:p>
    <w:p w:rsidR="007949D3" w:rsidRPr="00E376CA" w:rsidRDefault="007949D3" w:rsidP="007949D3">
      <w:pPr>
        <w:autoSpaceDE w:val="0"/>
        <w:autoSpaceDN w:val="0"/>
        <w:adjustRightInd w:val="0"/>
        <w:jc w:val="both"/>
        <w:rPr>
          <w:rFonts w:ascii="Times New Roman" w:hAnsi="Times New Roman" w:cs="Times New Roman"/>
          <w:sz w:val="24"/>
          <w:szCs w:val="24"/>
          <w:lang w:eastAsia="zh-CN"/>
        </w:rPr>
      </w:pPr>
      <w:r w:rsidRPr="00A9143B">
        <w:rPr>
          <w:rFonts w:ascii="Times New Roman" w:hAnsi="Times New Roman" w:cs="Times New Roman"/>
          <w:sz w:val="24"/>
          <w:szCs w:val="24"/>
        </w:rPr>
        <w:t>Please refer to the website of Chinamoney (</w:t>
      </w:r>
      <w:hyperlink r:id="rId10" w:history="1">
        <w:r w:rsidRPr="00A9143B">
          <w:rPr>
            <w:rStyle w:val="a6"/>
            <w:rFonts w:ascii="Times New Roman" w:eastAsia="PMingLiU" w:hAnsi="Times New Roman" w:cs="Times New Roman"/>
            <w:sz w:val="24"/>
            <w:szCs w:val="24"/>
            <w:lang w:val="en-GB" w:eastAsia="zh-TW"/>
          </w:rPr>
          <w:t>www.chinamoney.com.cn</w:t>
        </w:r>
      </w:hyperlink>
      <w:r w:rsidRPr="00A9143B">
        <w:rPr>
          <w:rFonts w:ascii="Times New Roman" w:eastAsia="PMingLiU" w:hAnsi="Times New Roman" w:cs="Times New Roman"/>
          <w:sz w:val="24"/>
          <w:szCs w:val="24"/>
          <w:lang w:val="en-GB" w:eastAsia="zh-TW"/>
        </w:rPr>
        <w:t>) and the website of Shanghai Clearing House (</w:t>
      </w:r>
      <w:hyperlink r:id="rId11" w:history="1">
        <w:r w:rsidRPr="00A9143B">
          <w:rPr>
            <w:rStyle w:val="a6"/>
            <w:rFonts w:ascii="Times New Roman" w:eastAsia="PMingLiU" w:hAnsi="Times New Roman" w:cs="Times New Roman"/>
            <w:sz w:val="24"/>
            <w:szCs w:val="24"/>
            <w:lang w:val="en-GB" w:eastAsia="zh-TW"/>
          </w:rPr>
          <w:t>www.shclearing.com</w:t>
        </w:r>
      </w:hyperlink>
      <w:r w:rsidRPr="00A9143B">
        <w:rPr>
          <w:rFonts w:ascii="Times New Roman" w:eastAsia="PMingLiU" w:hAnsi="Times New Roman" w:cs="Times New Roman"/>
          <w:sz w:val="24"/>
          <w:szCs w:val="24"/>
          <w:lang w:val="en-GB" w:eastAsia="zh-TW"/>
        </w:rPr>
        <w:t>) for the relevant documents for the Issuance.</w:t>
      </w:r>
    </w:p>
    <w:p w:rsidR="007949D3" w:rsidRDefault="007949D3" w:rsidP="007949D3">
      <w:pPr>
        <w:spacing w:before="828" w:after="60"/>
        <w:ind w:left="4253"/>
        <w:jc w:val="center"/>
        <w:rPr>
          <w:rFonts w:ascii="Times New Roman" w:hAnsi="Times New Roman"/>
          <w:color w:val="000000"/>
          <w:spacing w:val="-4"/>
          <w:w w:val="105"/>
          <w:sz w:val="23"/>
          <w:szCs w:val="23"/>
        </w:rPr>
      </w:pPr>
      <w:r>
        <w:rPr>
          <w:rFonts w:ascii="Times New Roman" w:hAnsi="Times New Roman"/>
          <w:color w:val="000000"/>
          <w:spacing w:val="-4"/>
          <w:w w:val="105"/>
          <w:sz w:val="23"/>
          <w:szCs w:val="23"/>
        </w:rPr>
        <w:t xml:space="preserve">By order of the Board </w:t>
      </w:r>
      <w:r>
        <w:rPr>
          <w:rFonts w:ascii="Times New Roman" w:hAnsi="Times New Roman"/>
          <w:color w:val="000000"/>
          <w:spacing w:val="-4"/>
          <w:w w:val="105"/>
        </w:rPr>
        <w:br/>
      </w:r>
      <w:r>
        <w:rPr>
          <w:rFonts w:ascii="Times New Roman" w:hAnsi="Times New Roman"/>
          <w:b/>
          <w:color w:val="000000"/>
          <w:spacing w:val="-4"/>
          <w:w w:val="105"/>
          <w:sz w:val="23"/>
          <w:szCs w:val="23"/>
        </w:rPr>
        <w:t>Yanzhou Coal Mining Company Limited</w:t>
      </w:r>
    </w:p>
    <w:p w:rsidR="007949D3" w:rsidRDefault="007949D3" w:rsidP="007949D3">
      <w:pPr>
        <w:spacing w:after="60"/>
        <w:ind w:left="4253"/>
        <w:jc w:val="center"/>
        <w:rPr>
          <w:rFonts w:ascii="Times New Roman" w:hAnsi="Times New Roman"/>
          <w:b/>
          <w:color w:val="000000"/>
          <w:w w:val="105"/>
          <w:sz w:val="24"/>
        </w:rPr>
      </w:pPr>
      <w:r>
        <w:rPr>
          <w:rFonts w:ascii="Times New Roman" w:hAnsi="Times New Roman"/>
          <w:b/>
          <w:color w:val="000000"/>
          <w:w w:val="105"/>
          <w:sz w:val="23"/>
          <w:szCs w:val="23"/>
        </w:rPr>
        <w:t>Li Xiyong</w:t>
      </w:r>
    </w:p>
    <w:p w:rsidR="007949D3" w:rsidRDefault="007949D3" w:rsidP="007949D3">
      <w:pPr>
        <w:ind w:left="4253"/>
        <w:jc w:val="center"/>
        <w:rPr>
          <w:rFonts w:ascii="Times New Roman" w:hAnsi="Times New Roman" w:hint="eastAsia"/>
          <w:i/>
          <w:color w:val="000000"/>
          <w:spacing w:val="-4"/>
          <w:w w:val="105"/>
          <w:sz w:val="23"/>
          <w:szCs w:val="23"/>
          <w:lang w:eastAsia="zh-CN"/>
        </w:rPr>
      </w:pPr>
      <w:r>
        <w:rPr>
          <w:rFonts w:ascii="Times New Roman" w:hAnsi="Times New Roman"/>
          <w:i/>
          <w:color w:val="000000"/>
          <w:spacing w:val="-4"/>
          <w:w w:val="105"/>
          <w:sz w:val="23"/>
          <w:szCs w:val="23"/>
        </w:rPr>
        <w:t>Chairman of the Board</w:t>
      </w:r>
    </w:p>
    <w:p w:rsidR="007949D3" w:rsidRDefault="007949D3" w:rsidP="007949D3">
      <w:pPr>
        <w:tabs>
          <w:tab w:val="left" w:pos="5245"/>
        </w:tabs>
        <w:spacing w:before="120" w:line="300" w:lineRule="exact"/>
        <w:ind w:left="142" w:right="4162"/>
        <w:rPr>
          <w:rFonts w:ascii="Times New Roman" w:hAnsi="Times New Roman"/>
          <w:color w:val="000000"/>
          <w:spacing w:val="-6"/>
          <w:w w:val="105"/>
          <w:sz w:val="24"/>
          <w:szCs w:val="24"/>
        </w:rPr>
      </w:pPr>
      <w:r>
        <w:rPr>
          <w:rFonts w:ascii="Times New Roman" w:hAnsi="Times New Roman"/>
          <w:color w:val="000000"/>
          <w:spacing w:val="-6"/>
          <w:w w:val="105"/>
          <w:sz w:val="24"/>
          <w:szCs w:val="24"/>
        </w:rPr>
        <w:t xml:space="preserve">Zoucheng, Shandong Province, the PRC </w:t>
      </w:r>
    </w:p>
    <w:p w:rsidR="007949D3" w:rsidRDefault="007949D3" w:rsidP="007949D3">
      <w:pPr>
        <w:tabs>
          <w:tab w:val="left" w:pos="5245"/>
        </w:tabs>
        <w:spacing w:before="120" w:line="300" w:lineRule="exact"/>
        <w:ind w:left="142" w:right="4162"/>
        <w:rPr>
          <w:rFonts w:ascii="Times New Roman" w:hAnsi="Times New Roman"/>
          <w:color w:val="000000"/>
          <w:spacing w:val="-6"/>
          <w:w w:val="105"/>
          <w:lang w:eastAsia="zh-CN"/>
        </w:rPr>
      </w:pPr>
      <w:r>
        <w:rPr>
          <w:rFonts w:ascii="Times New Roman" w:hAnsi="Times New Roman" w:hint="eastAsia"/>
          <w:color w:val="000000"/>
          <w:spacing w:val="-6"/>
          <w:w w:val="105"/>
          <w:sz w:val="24"/>
          <w:lang w:eastAsia="zh-CN"/>
        </w:rPr>
        <w:t>15</w:t>
      </w:r>
      <w:r>
        <w:rPr>
          <w:rFonts w:ascii="Times New Roman" w:eastAsia="PMingLiU" w:hAnsi="Times New Roman"/>
          <w:color w:val="000000"/>
          <w:spacing w:val="-6"/>
          <w:w w:val="105"/>
          <w:sz w:val="24"/>
          <w:lang w:eastAsia="zh-TW"/>
        </w:rPr>
        <w:t xml:space="preserve"> August </w:t>
      </w:r>
      <w:r>
        <w:rPr>
          <w:rFonts w:ascii="Times New Roman" w:hAnsi="Times New Roman" w:hint="eastAsia"/>
          <w:color w:val="000000"/>
          <w:spacing w:val="-6"/>
          <w:w w:val="105"/>
          <w:sz w:val="24"/>
          <w:lang w:eastAsia="zh-CN"/>
        </w:rPr>
        <w:t>2017</w:t>
      </w:r>
    </w:p>
    <w:p w:rsidR="00651424" w:rsidRDefault="007949D3" w:rsidP="007949D3">
      <w:pPr>
        <w:spacing w:before="252"/>
        <w:ind w:left="144" w:right="144"/>
        <w:jc w:val="both"/>
        <w:rPr>
          <w:rFonts w:ascii="Times New Roman" w:hAnsi="Times New Roman" w:hint="eastAsia"/>
          <w:i/>
          <w:color w:val="000000"/>
          <w:spacing w:val="-5"/>
          <w:w w:val="105"/>
          <w:sz w:val="21"/>
          <w:lang w:eastAsia="zh-CN"/>
        </w:rPr>
      </w:pPr>
      <w:r w:rsidRPr="0094183B">
        <w:rPr>
          <w:rFonts w:ascii="Times New Roman" w:hAnsi="Times New Roman"/>
          <w:i/>
          <w:color w:val="000000"/>
          <w:spacing w:val="-5"/>
          <w:w w:val="105"/>
        </w:rPr>
        <w:t>As at the date of this announcement, the directors of the Company are Mr. Li Xiyong, Mr. Li Wei, Mr. Wu Xiangqian, Mr. Wu Yuxiang, Mr. Guo Dechun, Mr. Zhao Qingchun and Mr. Guojun, and the independent non-executive directors of the Company are Mr. Kong Xiangguo, Mr. Jia Shaohua, Mr. Poon Chiu Kwok and Mr. Qi Anbang.</w:t>
      </w:r>
    </w:p>
    <w:sectPr w:rsidR="00651424" w:rsidSect="00B33273">
      <w:footerReference w:type="default" r:id="rId12"/>
      <w:pgSz w:w="11918" w:h="16854"/>
      <w:pgMar w:top="1491" w:right="1650" w:bottom="1661" w:left="1565" w:header="72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AE5" w:rsidRDefault="005C1AE5">
      <w:pPr>
        <w:spacing w:after="0" w:line="240" w:lineRule="auto"/>
      </w:pPr>
      <w:r>
        <w:separator/>
      </w:r>
    </w:p>
  </w:endnote>
  <w:endnote w:type="continuationSeparator" w:id="0">
    <w:p w:rsidR="005C1AE5" w:rsidRDefault="005C1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宋体"/>
    <w:panose1 w:val="00000000000000000000"/>
    <w:charset w:val="86"/>
    <w:family w:val="auto"/>
    <w:notTrueType/>
    <w:pitch w:val="default"/>
    <w:sig w:usb0="00000001" w:usb1="080E0000" w:usb2="00000010" w:usb3="00000000" w:csb0="0004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007113"/>
      <w:showingPlcHdr/>
    </w:sdtPr>
    <w:sdtContent>
      <w:p w:rsidR="00651424" w:rsidRDefault="009256B1">
        <w:pPr>
          <w:pStyle w:val="a4"/>
          <w:jc w:val="center"/>
        </w:pPr>
        <w:r>
          <w:t xml:space="preserve">     </w:t>
        </w:r>
      </w:p>
    </w:sdtContent>
  </w:sdt>
  <w:p w:rsidR="00651424" w:rsidRDefault="006514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AE5" w:rsidRDefault="005C1AE5">
      <w:pPr>
        <w:spacing w:after="0" w:line="240" w:lineRule="auto"/>
      </w:pPr>
      <w:r>
        <w:separator/>
      </w:r>
    </w:p>
  </w:footnote>
  <w:footnote w:type="continuationSeparator" w:id="0">
    <w:p w:rsidR="005C1AE5" w:rsidRDefault="005C1A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9A651"/>
    <w:multiLevelType w:val="singleLevel"/>
    <w:tmpl w:val="57F9A651"/>
    <w:lvl w:ilvl="0">
      <w:start w:val="1"/>
      <w:numFmt w:val="decimal"/>
      <w:suff w:val="space"/>
      <w:lvlText w:val="%1."/>
      <w:lvlJc w:val="left"/>
    </w:lvl>
  </w:abstractNum>
  <w:abstractNum w:abstractNumId="1">
    <w:nsid w:val="57F9C4DA"/>
    <w:multiLevelType w:val="singleLevel"/>
    <w:tmpl w:val="57F9C4DA"/>
    <w:lvl w:ilvl="0">
      <w:start w:val="3"/>
      <w:numFmt w:val="decimal"/>
      <w:suff w:val="space"/>
      <w:lvlText w:val="(%1)"/>
      <w:lvlJc w:val="left"/>
    </w:lvl>
  </w:abstractNum>
  <w:abstractNum w:abstractNumId="2">
    <w:nsid w:val="66C5700F"/>
    <w:multiLevelType w:val="multilevel"/>
    <w:tmpl w:val="66C5700F"/>
    <w:lvl w:ilvl="0">
      <w:start w:val="1"/>
      <w:numFmt w:val="decimal"/>
      <w:lvlText w:val="%1."/>
      <w:lvlJc w:val="left"/>
      <w:pPr>
        <w:tabs>
          <w:tab w:val="decimal" w:pos="576"/>
        </w:tabs>
        <w:ind w:left="720"/>
      </w:pPr>
      <w:rPr>
        <w:rFonts w:ascii="Times New Roman" w:hAnsi="Times New Roman"/>
        <w:b/>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noPunctuationKerning/>
  <w:characterSpacingControl w:val="doNotCompress"/>
  <w:hdrShapeDefaults>
    <o:shapedefaults v:ext="edit" spidmax="66562"/>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DMReference" w:val="&#10;ヿꐐ恃ЫĆ2耀͍耀͍폜椼Ѐ&amp;꒐呃ЫĆ쬈ಂᅀ槜쬈ಂ"/>
    <w:docVar w:name="OfficeIni" w:val="x椬埨楃㯠˽x椬䰜楃閤ಃ闔ಃ2镠ಃx椬䰜楃阴ಃ除ಃ2闠ಃx椬䰜楃隔ಃ雄ಃ2"/>
    <w:docVar w:name="ReferenceFieldsConverted" w:val="w:useAltKinsokuLineBreakRule"/>
  </w:docVars>
  <w:rsids>
    <w:rsidRoot w:val="00014179"/>
    <w:rsid w:val="00000FAE"/>
    <w:rsid w:val="0000704D"/>
    <w:rsid w:val="00007AE1"/>
    <w:rsid w:val="00014179"/>
    <w:rsid w:val="00014F47"/>
    <w:rsid w:val="00021CEE"/>
    <w:rsid w:val="00040DF0"/>
    <w:rsid w:val="0004590E"/>
    <w:rsid w:val="000467E0"/>
    <w:rsid w:val="00055D75"/>
    <w:rsid w:val="000650DB"/>
    <w:rsid w:val="00096A49"/>
    <w:rsid w:val="000A10A1"/>
    <w:rsid w:val="000A3EF1"/>
    <w:rsid w:val="000A78B5"/>
    <w:rsid w:val="000C0F39"/>
    <w:rsid w:val="000C1713"/>
    <w:rsid w:val="000E094D"/>
    <w:rsid w:val="000F0396"/>
    <w:rsid w:val="000F5F1C"/>
    <w:rsid w:val="00101446"/>
    <w:rsid w:val="00107CA0"/>
    <w:rsid w:val="00113E8F"/>
    <w:rsid w:val="00113FE6"/>
    <w:rsid w:val="001149CE"/>
    <w:rsid w:val="00121090"/>
    <w:rsid w:val="001226E7"/>
    <w:rsid w:val="001244EB"/>
    <w:rsid w:val="00125DCF"/>
    <w:rsid w:val="00136BCE"/>
    <w:rsid w:val="00142F7A"/>
    <w:rsid w:val="00143A1C"/>
    <w:rsid w:val="00147AB9"/>
    <w:rsid w:val="001516C4"/>
    <w:rsid w:val="001533A9"/>
    <w:rsid w:val="00165B1C"/>
    <w:rsid w:val="00185884"/>
    <w:rsid w:val="00186A0B"/>
    <w:rsid w:val="00197911"/>
    <w:rsid w:val="001E2471"/>
    <w:rsid w:val="001E338E"/>
    <w:rsid w:val="001E5759"/>
    <w:rsid w:val="001F5505"/>
    <w:rsid w:val="0020111C"/>
    <w:rsid w:val="00207E51"/>
    <w:rsid w:val="00235141"/>
    <w:rsid w:val="00236192"/>
    <w:rsid w:val="002372FE"/>
    <w:rsid w:val="0024489A"/>
    <w:rsid w:val="002453E4"/>
    <w:rsid w:val="00245F08"/>
    <w:rsid w:val="00251B42"/>
    <w:rsid w:val="00262CD0"/>
    <w:rsid w:val="00267419"/>
    <w:rsid w:val="002677AE"/>
    <w:rsid w:val="00267A47"/>
    <w:rsid w:val="00273379"/>
    <w:rsid w:val="00290798"/>
    <w:rsid w:val="002A6364"/>
    <w:rsid w:val="002B15AA"/>
    <w:rsid w:val="002D6C5C"/>
    <w:rsid w:val="002F44DB"/>
    <w:rsid w:val="00301AB6"/>
    <w:rsid w:val="00307882"/>
    <w:rsid w:val="003367BE"/>
    <w:rsid w:val="0036261A"/>
    <w:rsid w:val="00390853"/>
    <w:rsid w:val="003B5D56"/>
    <w:rsid w:val="003C2D0C"/>
    <w:rsid w:val="00400D44"/>
    <w:rsid w:val="0041606D"/>
    <w:rsid w:val="00436B81"/>
    <w:rsid w:val="0044744B"/>
    <w:rsid w:val="00463756"/>
    <w:rsid w:val="00470AC5"/>
    <w:rsid w:val="0047127E"/>
    <w:rsid w:val="00482978"/>
    <w:rsid w:val="0049670B"/>
    <w:rsid w:val="00497CD1"/>
    <w:rsid w:val="004B2FAA"/>
    <w:rsid w:val="004F2836"/>
    <w:rsid w:val="004F290E"/>
    <w:rsid w:val="004F32F1"/>
    <w:rsid w:val="004F7743"/>
    <w:rsid w:val="005004EA"/>
    <w:rsid w:val="00500DF3"/>
    <w:rsid w:val="005127E5"/>
    <w:rsid w:val="00515A71"/>
    <w:rsid w:val="00517287"/>
    <w:rsid w:val="00520A7D"/>
    <w:rsid w:val="005254E0"/>
    <w:rsid w:val="005275AB"/>
    <w:rsid w:val="00544941"/>
    <w:rsid w:val="0054747A"/>
    <w:rsid w:val="005650A4"/>
    <w:rsid w:val="0059173F"/>
    <w:rsid w:val="005B0CBD"/>
    <w:rsid w:val="005B2B06"/>
    <w:rsid w:val="005B628A"/>
    <w:rsid w:val="005B6EA1"/>
    <w:rsid w:val="005C1AE5"/>
    <w:rsid w:val="005D171C"/>
    <w:rsid w:val="005D4412"/>
    <w:rsid w:val="005F3485"/>
    <w:rsid w:val="006020B2"/>
    <w:rsid w:val="006248E2"/>
    <w:rsid w:val="00645D7E"/>
    <w:rsid w:val="00651424"/>
    <w:rsid w:val="00651F73"/>
    <w:rsid w:val="00662D1B"/>
    <w:rsid w:val="00666138"/>
    <w:rsid w:val="006930BD"/>
    <w:rsid w:val="006A1DDF"/>
    <w:rsid w:val="006A3624"/>
    <w:rsid w:val="006A4FFC"/>
    <w:rsid w:val="006A783B"/>
    <w:rsid w:val="006B10F6"/>
    <w:rsid w:val="006C0DBF"/>
    <w:rsid w:val="006D1FFE"/>
    <w:rsid w:val="006E002C"/>
    <w:rsid w:val="006E6219"/>
    <w:rsid w:val="006F07BE"/>
    <w:rsid w:val="006F1305"/>
    <w:rsid w:val="006F14FB"/>
    <w:rsid w:val="006F3A2E"/>
    <w:rsid w:val="007076BB"/>
    <w:rsid w:val="00716C2E"/>
    <w:rsid w:val="00721594"/>
    <w:rsid w:val="00722573"/>
    <w:rsid w:val="00722A31"/>
    <w:rsid w:val="00723F59"/>
    <w:rsid w:val="0072456A"/>
    <w:rsid w:val="0072591D"/>
    <w:rsid w:val="00725DA3"/>
    <w:rsid w:val="00736DA2"/>
    <w:rsid w:val="0074077F"/>
    <w:rsid w:val="007423A7"/>
    <w:rsid w:val="0075399B"/>
    <w:rsid w:val="00767511"/>
    <w:rsid w:val="007949D3"/>
    <w:rsid w:val="007B1530"/>
    <w:rsid w:val="007B4F58"/>
    <w:rsid w:val="007D7F60"/>
    <w:rsid w:val="007E400E"/>
    <w:rsid w:val="007E600D"/>
    <w:rsid w:val="007F709A"/>
    <w:rsid w:val="008074AD"/>
    <w:rsid w:val="0087546C"/>
    <w:rsid w:val="00875AD0"/>
    <w:rsid w:val="00891A29"/>
    <w:rsid w:val="00892235"/>
    <w:rsid w:val="008937A3"/>
    <w:rsid w:val="008A1F7B"/>
    <w:rsid w:val="008A4489"/>
    <w:rsid w:val="008C304D"/>
    <w:rsid w:val="008C3F3B"/>
    <w:rsid w:val="008D7856"/>
    <w:rsid w:val="008E3F6A"/>
    <w:rsid w:val="00905133"/>
    <w:rsid w:val="00906D85"/>
    <w:rsid w:val="00914625"/>
    <w:rsid w:val="00921BC0"/>
    <w:rsid w:val="009221B7"/>
    <w:rsid w:val="009256B1"/>
    <w:rsid w:val="00930733"/>
    <w:rsid w:val="0094183B"/>
    <w:rsid w:val="00973DF8"/>
    <w:rsid w:val="00985DA8"/>
    <w:rsid w:val="0098676D"/>
    <w:rsid w:val="00990C92"/>
    <w:rsid w:val="00991D98"/>
    <w:rsid w:val="009A0226"/>
    <w:rsid w:val="009A3E69"/>
    <w:rsid w:val="009A7A0A"/>
    <w:rsid w:val="009B76C8"/>
    <w:rsid w:val="009B7F7F"/>
    <w:rsid w:val="009D247E"/>
    <w:rsid w:val="009D288C"/>
    <w:rsid w:val="009F17C8"/>
    <w:rsid w:val="009F52E5"/>
    <w:rsid w:val="00A11007"/>
    <w:rsid w:val="00A17889"/>
    <w:rsid w:val="00A213BA"/>
    <w:rsid w:val="00A31F78"/>
    <w:rsid w:val="00A33CBA"/>
    <w:rsid w:val="00A345CF"/>
    <w:rsid w:val="00A44C76"/>
    <w:rsid w:val="00A47328"/>
    <w:rsid w:val="00A534B0"/>
    <w:rsid w:val="00A61B74"/>
    <w:rsid w:val="00A761C7"/>
    <w:rsid w:val="00A77006"/>
    <w:rsid w:val="00A86EEB"/>
    <w:rsid w:val="00A959AF"/>
    <w:rsid w:val="00AA3FDE"/>
    <w:rsid w:val="00AB0E36"/>
    <w:rsid w:val="00AC12DC"/>
    <w:rsid w:val="00AC7AE7"/>
    <w:rsid w:val="00AD7D12"/>
    <w:rsid w:val="00AE6C77"/>
    <w:rsid w:val="00AF65BC"/>
    <w:rsid w:val="00AF75E6"/>
    <w:rsid w:val="00B0340E"/>
    <w:rsid w:val="00B0371E"/>
    <w:rsid w:val="00B1581F"/>
    <w:rsid w:val="00B24F9C"/>
    <w:rsid w:val="00B33273"/>
    <w:rsid w:val="00B528D8"/>
    <w:rsid w:val="00B541F4"/>
    <w:rsid w:val="00B54ABD"/>
    <w:rsid w:val="00B56E16"/>
    <w:rsid w:val="00B615CC"/>
    <w:rsid w:val="00B6533C"/>
    <w:rsid w:val="00B65BC7"/>
    <w:rsid w:val="00B75591"/>
    <w:rsid w:val="00B8166B"/>
    <w:rsid w:val="00B831FF"/>
    <w:rsid w:val="00B85810"/>
    <w:rsid w:val="00BA17CD"/>
    <w:rsid w:val="00BC0BF1"/>
    <w:rsid w:val="00BE6EB1"/>
    <w:rsid w:val="00BF1BF6"/>
    <w:rsid w:val="00BF7D67"/>
    <w:rsid w:val="00C02643"/>
    <w:rsid w:val="00C0473E"/>
    <w:rsid w:val="00C1151E"/>
    <w:rsid w:val="00C4614A"/>
    <w:rsid w:val="00C52088"/>
    <w:rsid w:val="00C52B89"/>
    <w:rsid w:val="00C52B90"/>
    <w:rsid w:val="00C55669"/>
    <w:rsid w:val="00C56F87"/>
    <w:rsid w:val="00C570D3"/>
    <w:rsid w:val="00C63A01"/>
    <w:rsid w:val="00C67FF7"/>
    <w:rsid w:val="00C70F45"/>
    <w:rsid w:val="00C762A1"/>
    <w:rsid w:val="00C8513A"/>
    <w:rsid w:val="00C91103"/>
    <w:rsid w:val="00C94717"/>
    <w:rsid w:val="00CB0809"/>
    <w:rsid w:val="00CB2D3F"/>
    <w:rsid w:val="00CC2A23"/>
    <w:rsid w:val="00CC5761"/>
    <w:rsid w:val="00CD0840"/>
    <w:rsid w:val="00CE17D3"/>
    <w:rsid w:val="00D04EFD"/>
    <w:rsid w:val="00D10C72"/>
    <w:rsid w:val="00D33830"/>
    <w:rsid w:val="00D61BE6"/>
    <w:rsid w:val="00D6679E"/>
    <w:rsid w:val="00D84319"/>
    <w:rsid w:val="00D8526D"/>
    <w:rsid w:val="00DA2ECA"/>
    <w:rsid w:val="00DA4EED"/>
    <w:rsid w:val="00DB5226"/>
    <w:rsid w:val="00DC3B37"/>
    <w:rsid w:val="00DD0177"/>
    <w:rsid w:val="00DD3575"/>
    <w:rsid w:val="00DE059E"/>
    <w:rsid w:val="00DE5F3B"/>
    <w:rsid w:val="00DF066B"/>
    <w:rsid w:val="00DF1B09"/>
    <w:rsid w:val="00DF3F0C"/>
    <w:rsid w:val="00E04EB4"/>
    <w:rsid w:val="00E133CD"/>
    <w:rsid w:val="00E15AD1"/>
    <w:rsid w:val="00E271E2"/>
    <w:rsid w:val="00E3046F"/>
    <w:rsid w:val="00E376CA"/>
    <w:rsid w:val="00E6173D"/>
    <w:rsid w:val="00E62CEC"/>
    <w:rsid w:val="00E64448"/>
    <w:rsid w:val="00E66EF5"/>
    <w:rsid w:val="00E9167B"/>
    <w:rsid w:val="00EC352C"/>
    <w:rsid w:val="00EC57D6"/>
    <w:rsid w:val="00EE232F"/>
    <w:rsid w:val="00EE650A"/>
    <w:rsid w:val="00F34619"/>
    <w:rsid w:val="00F34C39"/>
    <w:rsid w:val="00F56504"/>
    <w:rsid w:val="00F62A0B"/>
    <w:rsid w:val="00F661D8"/>
    <w:rsid w:val="00F8025E"/>
    <w:rsid w:val="00F842A8"/>
    <w:rsid w:val="00F9265B"/>
    <w:rsid w:val="00FB6FA8"/>
    <w:rsid w:val="00FB7EDC"/>
    <w:rsid w:val="00FC0B21"/>
    <w:rsid w:val="00FD4F92"/>
    <w:rsid w:val="00FD65A2"/>
    <w:rsid w:val="00FF1710"/>
    <w:rsid w:val="07A2297C"/>
    <w:rsid w:val="0FE5255B"/>
    <w:rsid w:val="10201E80"/>
    <w:rsid w:val="1A337347"/>
    <w:rsid w:val="359278AA"/>
    <w:rsid w:val="4F80339C"/>
    <w:rsid w:val="751231DC"/>
    <w:rsid w:val="75BB41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6"/>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73"/>
    <w:rPr>
      <w:rFonts w:asciiTheme="minorHAnsi" w:eastAsiaTheme="minorEastAsia" w:hAnsiTheme="minorHAnsi" w:cstheme="min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33273"/>
    <w:pPr>
      <w:spacing w:after="0" w:line="240" w:lineRule="auto"/>
    </w:pPr>
    <w:rPr>
      <w:rFonts w:ascii="Tahoma" w:hAnsi="Tahoma" w:cs="Tahoma"/>
      <w:sz w:val="16"/>
      <w:szCs w:val="16"/>
    </w:rPr>
  </w:style>
  <w:style w:type="paragraph" w:styleId="a4">
    <w:name w:val="footer"/>
    <w:link w:val="Char0"/>
    <w:uiPriority w:val="99"/>
    <w:unhideWhenUsed/>
    <w:rsid w:val="00B33273"/>
    <w:pPr>
      <w:tabs>
        <w:tab w:val="center" w:pos="4320"/>
        <w:tab w:val="right" w:pos="8640"/>
      </w:tabs>
    </w:pPr>
    <w:rPr>
      <w:rFonts w:asciiTheme="minorHAnsi" w:eastAsiaTheme="minorEastAsia" w:hAnsiTheme="minorHAnsi" w:cstheme="minorBidi"/>
      <w:sz w:val="22"/>
      <w:szCs w:val="22"/>
      <w:lang w:val="en-US" w:eastAsia="en-US"/>
    </w:rPr>
  </w:style>
  <w:style w:type="paragraph" w:styleId="a5">
    <w:name w:val="header"/>
    <w:basedOn w:val="a"/>
    <w:link w:val="Char1"/>
    <w:uiPriority w:val="99"/>
    <w:unhideWhenUsed/>
    <w:rsid w:val="00B33273"/>
    <w:pPr>
      <w:tabs>
        <w:tab w:val="center" w:pos="4153"/>
        <w:tab w:val="right" w:pos="8306"/>
      </w:tabs>
    </w:pPr>
  </w:style>
  <w:style w:type="character" w:customStyle="1" w:styleId="Char0">
    <w:name w:val="页脚 Char"/>
    <w:link w:val="a4"/>
    <w:uiPriority w:val="99"/>
    <w:rsid w:val="00B33273"/>
  </w:style>
  <w:style w:type="character" w:customStyle="1" w:styleId="Char1">
    <w:name w:val="页眉 Char"/>
    <w:basedOn w:val="a0"/>
    <w:link w:val="a5"/>
    <w:uiPriority w:val="99"/>
    <w:rsid w:val="00B33273"/>
  </w:style>
  <w:style w:type="character" w:customStyle="1" w:styleId="Char">
    <w:name w:val="批注框文本 Char"/>
    <w:basedOn w:val="a0"/>
    <w:link w:val="a3"/>
    <w:uiPriority w:val="99"/>
    <w:semiHidden/>
    <w:rsid w:val="00B33273"/>
    <w:rPr>
      <w:rFonts w:ascii="Tahoma" w:hAnsi="Tahoma" w:cs="Tahoma"/>
      <w:sz w:val="16"/>
      <w:szCs w:val="16"/>
      <w:lang w:val="en-US" w:eastAsia="en-US"/>
    </w:rPr>
  </w:style>
  <w:style w:type="character" w:styleId="a6">
    <w:name w:val="Hyperlink"/>
    <w:uiPriority w:val="6"/>
    <w:semiHidden/>
    <w:rsid w:val="00A761C7"/>
    <w:rPr>
      <w:rFonts w:eastAsia="宋体"/>
      <w:color w:val="0000FF"/>
      <w:u w:val="single"/>
    </w:rPr>
  </w:style>
  <w:style w:type="table" w:styleId="a7">
    <w:name w:val="Table Grid"/>
    <w:basedOn w:val="a1"/>
    <w:rsid w:val="00A761C7"/>
    <w:pPr>
      <w:spacing w:after="0" w:line="240" w:lineRule="auto"/>
    </w:pPr>
    <w:rPr>
      <w:rFonts w:asciiTheme="minorHAnsi" w:eastAsia="PMingLiU" w:hAnsiTheme="minorHAnsi" w:cstheme="minorBid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6"/>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link w:val="FooterChar"/>
    <w:uiPriority w:val="99"/>
    <w:unhideWhenUsed/>
    <w:pPr>
      <w:tabs>
        <w:tab w:val="center" w:pos="4320"/>
        <w:tab w:val="right" w:pos="8640"/>
      </w:tabs>
    </w:pPr>
    <w:rPr>
      <w:rFonts w:asciiTheme="minorHAnsi" w:eastAsiaTheme="minorEastAsia" w:hAnsiTheme="minorHAnsi" w:cstheme="minorBidi"/>
      <w:sz w:val="22"/>
      <w:szCs w:val="22"/>
      <w:lang w:val="en-US" w:eastAsia="en-US"/>
    </w:rPr>
  </w:style>
  <w:style w:type="paragraph" w:styleId="Header">
    <w:name w:val="header"/>
    <w:basedOn w:val="Normal"/>
    <w:link w:val="HeaderChar"/>
    <w:uiPriority w:val="99"/>
    <w:unhideWhenUsed/>
    <w:pPr>
      <w:tabs>
        <w:tab w:val="center" w:pos="4153"/>
        <w:tab w:val="right" w:pos="8306"/>
      </w:tabs>
    </w:pPr>
  </w:style>
  <w:style w:type="character" w:customStyle="1" w:styleId="FooterChar">
    <w:name w:val="Footer Char"/>
    <w:link w:val="Footer"/>
    <w:uiPriority w:val="99"/>
  </w:style>
  <w:style w:type="character" w:customStyle="1" w:styleId="HeaderChar">
    <w:name w:val="Header Char"/>
    <w:basedOn w:val="DefaultParagraphFont"/>
    <w:link w:val="Header"/>
    <w:uiPriority w:val="99"/>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yperlink">
    <w:name w:val="Hyperlink"/>
    <w:uiPriority w:val="6"/>
    <w:semiHidden/>
    <w:rsid w:val="00A761C7"/>
    <w:rPr>
      <w:rFonts w:eastAsia="宋体"/>
      <w:color w:val="0000FF"/>
      <w:u w:val="single"/>
    </w:rPr>
  </w:style>
  <w:style w:type="table" w:styleId="TableGrid">
    <w:name w:val="Table Grid"/>
    <w:basedOn w:val="TableNormal"/>
    <w:rsid w:val="00A761C7"/>
    <w:pPr>
      <w:spacing w:after="0" w:line="240" w:lineRule="auto"/>
    </w:pPr>
    <w:rPr>
      <w:rFonts w:asciiTheme="minorHAnsi" w:eastAsia="PMingLiU"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clearing.com"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chinamoney.com.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4EEB0-08A5-49E3-BC14-E0BE980B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Baker &amp; McKenzie</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wzy</dc:creator>
  <cp:lastModifiedBy>郑芳宏</cp:lastModifiedBy>
  <cp:revision>6</cp:revision>
  <cp:lastPrinted>2017-08-15T02:51:00Z</cp:lastPrinted>
  <dcterms:created xsi:type="dcterms:W3CDTF">2017-08-15T02:51:00Z</dcterms:created>
  <dcterms:modified xsi:type="dcterms:W3CDTF">2017-08-15T07:25:00Z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